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519D" w14:textId="77777777" w:rsidR="00526D37" w:rsidRDefault="00000000">
      <w:pPr>
        <w:pStyle w:val="Titel"/>
        <w:spacing w:line="360" w:lineRule="auto"/>
        <w:jc w:val="both"/>
        <w:rPr>
          <w:sz w:val="48"/>
          <w:szCs w:val="48"/>
        </w:rPr>
      </w:pPr>
      <w:bookmarkStart w:id="0" w:name="_Hlk86675277"/>
      <w:bookmarkStart w:id="1" w:name="_Hlk159572298"/>
      <w:r>
        <w:rPr>
          <w:sz w:val="48"/>
          <w:szCs w:val="48"/>
        </w:rPr>
        <w:t>Checkliste: Barrierefreies Word</w:t>
      </w:r>
    </w:p>
    <w:p w14:paraId="2DEBF523" w14:textId="42F58170" w:rsidR="00526D37" w:rsidRDefault="00000000">
      <w:r>
        <w:t xml:space="preserve">Stand: </w:t>
      </w:r>
      <w:r w:rsidR="00402EBA">
        <w:t>08.03.2024</w:t>
      </w:r>
    </w:p>
    <w:p w14:paraId="5028185B" w14:textId="77777777" w:rsidR="00526D37" w:rsidRDefault="00000000">
      <w:pPr>
        <w:pStyle w:val="berschrift1"/>
        <w:spacing w:line="360" w:lineRule="auto"/>
      </w:pPr>
      <w:r>
        <w:rPr>
          <w:color w:val="000000" w:themeColor="text1"/>
        </w:rPr>
        <w:t xml:space="preserve">Einleitung </w:t>
      </w:r>
    </w:p>
    <w:p w14:paraId="2D3B3054" w14:textId="77777777" w:rsidR="00526D37" w:rsidRDefault="00000000">
      <w:pPr>
        <w:pStyle w:val="Textkrper"/>
        <w:spacing w:line="288" w:lineRule="auto"/>
      </w:pPr>
      <w:r>
        <w:t>Dieses Dokument gibt Hilfestellung, um möglichst barrierefreie Word-Dokumente zu erstellen. Um ein Word-Dokument vollumfänglich nach den EN 301 549 Richtlinien barrierefrei zu gestalten, ist hingegen unsere erweiterte Checkliste nach EN 301 549 notwendig. Zur Umsetzung der einzelnen Aspekte finden Sie Erläuterungen in der Umsetzungshilfe „Word barrierefrei“.</w:t>
      </w:r>
    </w:p>
    <w:p w14:paraId="52B9D51D" w14:textId="77777777" w:rsidR="00526D37" w:rsidRDefault="00000000">
      <w:pPr>
        <w:pStyle w:val="Textkrper"/>
        <w:spacing w:line="288" w:lineRule="auto"/>
      </w:pPr>
      <w:r>
        <w:t>Die Checkliste besteht aus einer Tabelle mit vier Spalten. Die erste Spalte dient zum Abhaken sowie zur Nummerierung der Aspekte. Die zweite Spalte kategorisiert die zu berücksichtigenden Aspekte, die in der dritten Spalte konkreter erläutert werden. Die vierte Spalte gibt Auskunft darüber, bei welchen Bedarfen dieser Aspekt besonders hilfreich ist.</w:t>
      </w:r>
    </w:p>
    <w:p w14:paraId="3E31A821" w14:textId="77777777" w:rsidR="00526D37" w:rsidRDefault="00000000">
      <w:pPr>
        <w:pStyle w:val="Textkrper"/>
        <w:spacing w:line="288" w:lineRule="auto"/>
      </w:pPr>
      <w:r>
        <w:t>Bedenken Sie: In jedem Fall ist die Nennung von Bedarfen exemplarisch, jedoch nicht abschließend!</w:t>
      </w:r>
    </w:p>
    <w:p w14:paraId="120BD7BA" w14:textId="77777777" w:rsidR="00526D37" w:rsidRDefault="00000000">
      <w:pPr>
        <w:pStyle w:val="berschrift1"/>
        <w:spacing w:after="120" w:line="288" w:lineRule="auto"/>
        <w:rPr>
          <w:color w:val="000000" w:themeColor="text1"/>
        </w:rPr>
      </w:pPr>
      <w:r>
        <w:rPr>
          <w:color w:val="000000" w:themeColor="text1"/>
        </w:rPr>
        <w:t>Hinweise zur Nutzung der Checkliste</w:t>
      </w:r>
    </w:p>
    <w:p w14:paraId="6B5FB6F6" w14:textId="77777777" w:rsidR="00526D37" w:rsidRDefault="00000000">
      <w:pPr>
        <w:pStyle w:val="Textkrper"/>
        <w:spacing w:line="288" w:lineRule="auto"/>
      </w:pPr>
      <w:r>
        <w:t>Bei der Erstellung eines neuen Dokuments ist zu empfehlen, dass die integrierte Barrierefreiheitsüberprüfung in Word bereits von Beginn an aktiviert ist und parallel zur Erstellung mitläuft. So können einige Barrieren direkt erkannt und verhindert werden. Die Option „Barrierefreiheit überprüfen“ ist eine Hilfestellung, garantiert jedoch keine vollständige Barrierefreiheit, weshalb sie zusätzlich zu einer manuellen Prüfung genutzt werden sollte.</w:t>
      </w:r>
    </w:p>
    <w:p w14:paraId="51FAE4A4" w14:textId="77777777" w:rsidR="00526D37" w:rsidRDefault="00000000">
      <w:pPr>
        <w:spacing w:after="120" w:line="288" w:lineRule="auto"/>
      </w:pPr>
      <w:r>
        <w:t xml:space="preserve">Bitte beachten Sie, dass beim Export des Dokuments in eine PDF weitere Anforderungen zu berücksichtigen sind (siehe </w:t>
      </w:r>
      <w:hyperlink r:id="rId8" w:tooltip="https://openmoodle.uni-bielefeld.de/mod/resource/view.php?id=1878" w:history="1">
        <w:r>
          <w:rPr>
            <w:rStyle w:val="Hyperlink"/>
          </w:rPr>
          <w:t>Checkliste „PDF barrierefrei“</w:t>
        </w:r>
      </w:hyperlink>
      <w:r>
        <w:t>). Wenn Sie Ihr Material zur Verfügung stellen wollen, empfehlen wir, das Original-Format zu verwenden (z.B. Word, PowerPoint), um weitere Anpassungen zu verhindern und Barrierefreiheit zu gewährleisten.</w:t>
      </w:r>
    </w:p>
    <w:p w14:paraId="2122495D" w14:textId="77777777" w:rsidR="00526D37" w:rsidRDefault="00000000">
      <w:pPr>
        <w:spacing w:after="120" w:line="288" w:lineRule="auto"/>
      </w:pPr>
      <w:r>
        <w:t xml:space="preserve">Diese Checkliste ist ungeeignet, falls mindestens einer der folgenden Fälle vorliegt: </w:t>
      </w:r>
    </w:p>
    <w:p w14:paraId="3B6529D6" w14:textId="77777777" w:rsidR="00526D37"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werden Skripte eingesetzt (z.B. VBScript)</w:t>
      </w:r>
    </w:p>
    <w:p w14:paraId="3302C14C" w14:textId="77777777" w:rsidR="00526D37"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gibt eingebettete Objekte (außer Online-Videos)</w:t>
      </w:r>
    </w:p>
    <w:p w14:paraId="0BBE5030" w14:textId="77777777" w:rsidR="00526D37" w:rsidRDefault="00000000">
      <w:pPr>
        <w:pStyle w:val="StandardWeb"/>
        <w:numPr>
          <w:ilvl w:val="0"/>
          <w:numId w:val="5"/>
        </w:numPr>
        <w:spacing w:before="0" w:beforeAutospacing="0" w:after="120" w:afterAutospacing="0" w:line="288" w:lineRule="auto"/>
      </w:pPr>
      <w:r>
        <w:rPr>
          <w:rFonts w:ascii="Calibri" w:hAnsi="Calibri" w:cs="Calibri"/>
          <w:color w:val="000000"/>
          <w:sz w:val="22"/>
          <w:szCs w:val="22"/>
        </w:rPr>
        <w:t>Es kommen Formularfelder vor (Formularfeldfunktion von Word)</w:t>
      </w:r>
      <w:r>
        <w:t xml:space="preserve"> </w:t>
      </w:r>
    </w:p>
    <w:p w14:paraId="1F16F12B" w14:textId="77777777" w:rsidR="00526D37" w:rsidRDefault="00000000">
      <w:pPr>
        <w:spacing w:after="120" w:line="288" w:lineRule="auto"/>
      </w:pPr>
      <w:r>
        <w:t>In diesen Fällen sollte direkt der Anforderungskatalog der EN 301 549 in Abschnitt 10 herangezogen werden.</w:t>
      </w:r>
    </w:p>
    <w:p w14:paraId="4E2ECD25" w14:textId="77777777" w:rsidR="00526D37" w:rsidRDefault="00000000">
      <w:pPr>
        <w:pStyle w:val="berschrift1"/>
        <w:spacing w:after="120" w:line="288" w:lineRule="auto"/>
        <w:rPr>
          <w:color w:val="auto"/>
        </w:rPr>
      </w:pPr>
      <w:bookmarkStart w:id="2" w:name="_Toc129951364"/>
      <w:r>
        <w:rPr>
          <w:color w:val="auto"/>
        </w:rPr>
        <w:t>Autorenschaft und Lizenz</w:t>
      </w:r>
      <w:bookmarkEnd w:id="2"/>
    </w:p>
    <w:p w14:paraId="7480EC10" w14:textId="77777777" w:rsidR="00526D37" w:rsidRDefault="00000000">
      <w:pPr>
        <w:spacing w:after="120" w:line="288" w:lineRule="auto"/>
      </w:pPr>
      <w:r>
        <w:t>Verfassende Personen: Jule Günter und Christin Stormer.</w:t>
      </w:r>
      <w:r>
        <w:rPr>
          <w:b/>
        </w:rPr>
        <w:t xml:space="preserve"> </w:t>
      </w:r>
      <w:r>
        <w:t xml:space="preserve">Das Projekt </w:t>
      </w:r>
      <w:hyperlink r:id="rId9" w:tooltip="http://www.shuffle-projekt.de" w:history="1">
        <w:r>
          <w:rPr>
            <w:rStyle w:val="Hyperlink"/>
          </w:rPr>
          <w:t>SHUFFLE – Hochschulinitiative digitale Barrierefreiheit für Alle</w:t>
        </w:r>
      </w:hyperlink>
      <w:r>
        <w:t xml:space="preserve"> wird durch die Stiftung </w:t>
      </w:r>
      <w:hyperlink r:id="rId10" w:tooltip="https://stiftung-hochschullehre.de/" w:history="1">
        <w:r>
          <w:rPr>
            <w:rStyle w:val="Hyperlink"/>
          </w:rPr>
          <w:t>Innovation in der Hochschullehre</w:t>
        </w:r>
      </w:hyperlink>
      <w:r>
        <w:t xml:space="preserve"> finanziell unterstützt.</w:t>
      </w:r>
      <w:r>
        <w:rPr>
          <w:b/>
        </w:rPr>
        <w:t xml:space="preserve"> </w:t>
      </w:r>
      <w:r>
        <w:t xml:space="preserve">Dieses Dokument ist freigegeben unter </w:t>
      </w:r>
      <w:hyperlink r:id="rId11" w:tooltip="https://creativecommons.org/licenses/by/4.0/" w:history="1">
        <w:r>
          <w:rPr>
            <w:rStyle w:val="Hyperlink"/>
          </w:rPr>
          <w:t>CC BY 4.0-Lizenz</w:t>
        </w:r>
      </w:hyperlink>
      <w:r>
        <w:t xml:space="preserve">. </w:t>
      </w:r>
    </w:p>
    <w:p w14:paraId="10ED2A09" w14:textId="77777777" w:rsidR="00526D37" w:rsidRDefault="00000000">
      <w:pPr>
        <w:pStyle w:val="berschrift1"/>
        <w:spacing w:line="360" w:lineRule="auto"/>
        <w:rPr>
          <w:color w:val="000000" w:themeColor="text1"/>
        </w:rPr>
      </w:pPr>
      <w:r>
        <w:rPr>
          <w:color w:val="000000" w:themeColor="text1"/>
        </w:rPr>
        <w:lastRenderedPageBreak/>
        <w:t>Checkliste</w:t>
      </w:r>
    </w:p>
    <w:tbl>
      <w:tblPr>
        <w:tblStyle w:val="Tabellenraster"/>
        <w:tblW w:w="9634" w:type="dxa"/>
        <w:tblLayout w:type="fixed"/>
        <w:tblLook w:val="04A0" w:firstRow="1" w:lastRow="0" w:firstColumn="1" w:lastColumn="0" w:noHBand="0" w:noVBand="1"/>
      </w:tblPr>
      <w:tblGrid>
        <w:gridCol w:w="988"/>
        <w:gridCol w:w="1559"/>
        <w:gridCol w:w="4111"/>
        <w:gridCol w:w="2976"/>
      </w:tblGrid>
      <w:tr w:rsidR="00526D37" w14:paraId="7D23DC36" w14:textId="77777777">
        <w:trPr>
          <w:cantSplit/>
          <w:tblHeader/>
        </w:trPr>
        <w:tc>
          <w:tcPr>
            <w:tcW w:w="988" w:type="dxa"/>
            <w:shd w:val="clear" w:color="auto" w:fill="D9E2F3" w:themeFill="accent1" w:themeFillTint="33"/>
            <w:noWrap/>
          </w:tcPr>
          <w:p w14:paraId="7572576F" w14:textId="77777777" w:rsidR="00526D37" w:rsidRDefault="00000000">
            <w:pPr>
              <w:spacing w:after="120" w:line="288" w:lineRule="auto"/>
              <w:rPr>
                <w:sz w:val="26"/>
                <w:szCs w:val="26"/>
              </w:rPr>
            </w:pPr>
            <w:r>
              <w:rPr>
                <w:sz w:val="26"/>
                <w:szCs w:val="26"/>
              </w:rPr>
              <w:t>Check? /Nr.</w:t>
            </w:r>
          </w:p>
        </w:tc>
        <w:tc>
          <w:tcPr>
            <w:tcW w:w="1559" w:type="dxa"/>
            <w:shd w:val="clear" w:color="auto" w:fill="D9E2F3" w:themeFill="accent1" w:themeFillTint="33"/>
            <w:noWrap/>
          </w:tcPr>
          <w:p w14:paraId="3E91380F" w14:textId="77777777" w:rsidR="00526D37" w:rsidRDefault="00000000">
            <w:pPr>
              <w:spacing w:after="120" w:line="288" w:lineRule="auto"/>
              <w:rPr>
                <w:sz w:val="26"/>
                <w:szCs w:val="26"/>
              </w:rPr>
            </w:pPr>
            <w:r>
              <w:rPr>
                <w:sz w:val="26"/>
                <w:szCs w:val="26"/>
              </w:rPr>
              <w:t>Typ</w:t>
            </w:r>
          </w:p>
        </w:tc>
        <w:tc>
          <w:tcPr>
            <w:tcW w:w="4111" w:type="dxa"/>
            <w:shd w:val="clear" w:color="auto" w:fill="D9E2F3" w:themeFill="accent1" w:themeFillTint="33"/>
            <w:noWrap/>
          </w:tcPr>
          <w:p w14:paraId="64205F4E" w14:textId="77777777" w:rsidR="00526D37" w:rsidRDefault="00000000">
            <w:pPr>
              <w:spacing w:after="120" w:line="288" w:lineRule="auto"/>
              <w:rPr>
                <w:sz w:val="26"/>
                <w:szCs w:val="26"/>
              </w:rPr>
            </w:pPr>
            <w:r>
              <w:rPr>
                <w:sz w:val="26"/>
                <w:szCs w:val="26"/>
              </w:rPr>
              <w:t xml:space="preserve">Aspekt </w:t>
            </w:r>
          </w:p>
        </w:tc>
        <w:tc>
          <w:tcPr>
            <w:tcW w:w="2976" w:type="dxa"/>
            <w:shd w:val="clear" w:color="auto" w:fill="D9E2F3" w:themeFill="accent1" w:themeFillTint="33"/>
            <w:noWrap/>
          </w:tcPr>
          <w:p w14:paraId="48F51498" w14:textId="77777777" w:rsidR="00526D37" w:rsidRDefault="00000000">
            <w:pPr>
              <w:spacing w:after="120" w:line="288" w:lineRule="auto"/>
              <w:rPr>
                <w:rFonts w:ascii="Times New Roman" w:hAnsi="Times New Roman" w:cs="Times New Roman"/>
                <w:b/>
                <w:bCs/>
                <w:sz w:val="26"/>
                <w:szCs w:val="26"/>
                <w:lang w:eastAsia="de-DE"/>
              </w:rPr>
            </w:pPr>
            <w:r>
              <w:rPr>
                <w:sz w:val="26"/>
                <w:szCs w:val="26"/>
              </w:rPr>
              <w:t>In digitaler Lehre</w:t>
            </w:r>
            <w:r>
              <w:rPr>
                <w:b/>
                <w:bCs/>
                <w:sz w:val="26"/>
                <w:szCs w:val="26"/>
              </w:rPr>
              <w:t xml:space="preserve"> besonders </w:t>
            </w:r>
            <w:r>
              <w:rPr>
                <w:sz w:val="26"/>
                <w:szCs w:val="26"/>
              </w:rPr>
              <w:t>hilfreich für Personen, die…</w:t>
            </w:r>
            <w:r>
              <w:rPr>
                <w:rFonts w:ascii="Times New Roman" w:hAnsi="Times New Roman" w:cs="Times New Roman"/>
                <w:b/>
                <w:bCs/>
                <w:sz w:val="26"/>
                <w:szCs w:val="26"/>
                <w:lang w:eastAsia="de-DE"/>
              </w:rPr>
              <w:t xml:space="preserve"> </w:t>
            </w:r>
          </w:p>
        </w:tc>
      </w:tr>
      <w:tr w:rsidR="00526D37" w14:paraId="2437D845" w14:textId="77777777">
        <w:trPr>
          <w:cantSplit/>
          <w:trHeight w:val="403"/>
        </w:trPr>
        <w:tc>
          <w:tcPr>
            <w:tcW w:w="988" w:type="dxa"/>
            <w:noWrap/>
          </w:tcPr>
          <w:p w14:paraId="63C41161" w14:textId="77777777" w:rsidR="00526D37" w:rsidRDefault="00000000">
            <w:pPr>
              <w:spacing w:after="120" w:line="288" w:lineRule="auto"/>
            </w:pPr>
            <w:r>
              <w:t>1.1</w:t>
            </w:r>
          </w:p>
        </w:tc>
        <w:tc>
          <w:tcPr>
            <w:tcW w:w="1559" w:type="dxa"/>
            <w:noWrap/>
          </w:tcPr>
          <w:p w14:paraId="73DBA98D" w14:textId="77777777" w:rsidR="00526D37" w:rsidRDefault="00000000">
            <w:pPr>
              <w:spacing w:after="120" w:line="288" w:lineRule="auto"/>
            </w:pPr>
            <w:r>
              <w:t>Allgemein</w:t>
            </w:r>
          </w:p>
        </w:tc>
        <w:tc>
          <w:tcPr>
            <w:tcW w:w="4111" w:type="dxa"/>
            <w:noWrap/>
          </w:tcPr>
          <w:p w14:paraId="4D0474F7" w14:textId="77777777" w:rsidR="00526D37" w:rsidRDefault="00000000">
            <w:pPr>
              <w:spacing w:after="120" w:line="288" w:lineRule="auto"/>
            </w:pPr>
            <w:r>
              <w:rPr>
                <w:rStyle w:val="docdata"/>
                <w:rFonts w:ascii="Calibri" w:hAnsi="Calibri" w:cs="Calibri"/>
                <w:color w:val="000000"/>
              </w:rPr>
              <w:t>Eine Bezugnahme auf interne oder externe textliche oder grafische Objekte erfolgt durch explizite Benennung, nicht allein anhand einer Beschreibung über visuelle oder auditive Merkmale.</w:t>
            </w:r>
          </w:p>
        </w:tc>
        <w:tc>
          <w:tcPr>
            <w:tcW w:w="2976" w:type="dxa"/>
            <w:noWrap/>
          </w:tcPr>
          <w:p w14:paraId="3F08138D" w14:textId="77777777" w:rsidR="00526D37" w:rsidRDefault="00000000">
            <w:pPr>
              <w:spacing w:after="120" w:line="288" w:lineRule="auto"/>
            </w:pPr>
            <w:r>
              <w:rPr>
                <w:bCs/>
              </w:rPr>
              <w:t>… sich im Dokument orientieren möchten.</w:t>
            </w:r>
          </w:p>
          <w:p w14:paraId="33E2F0AC" w14:textId="77777777" w:rsidR="00526D37" w:rsidRDefault="00000000">
            <w:pPr>
              <w:spacing w:after="120" w:line="288" w:lineRule="auto"/>
            </w:pPr>
            <w:r>
              <w:rPr>
                <w:bCs/>
              </w:rPr>
              <w:t>... primär einen Sinneskanal nutzen.</w:t>
            </w:r>
          </w:p>
        </w:tc>
      </w:tr>
      <w:tr w:rsidR="00526D37" w14:paraId="5D3CF731" w14:textId="77777777">
        <w:trPr>
          <w:cantSplit/>
          <w:trHeight w:val="403"/>
        </w:trPr>
        <w:tc>
          <w:tcPr>
            <w:tcW w:w="988" w:type="dxa"/>
            <w:noWrap/>
          </w:tcPr>
          <w:p w14:paraId="0D70841E" w14:textId="77777777" w:rsidR="00526D37" w:rsidRDefault="00000000">
            <w:pPr>
              <w:spacing w:after="120" w:line="288" w:lineRule="auto"/>
            </w:pPr>
            <w:r>
              <w:t>1.2</w:t>
            </w:r>
          </w:p>
        </w:tc>
        <w:tc>
          <w:tcPr>
            <w:tcW w:w="1559" w:type="dxa"/>
            <w:noWrap/>
          </w:tcPr>
          <w:p w14:paraId="30893D74" w14:textId="77777777" w:rsidR="00526D37" w:rsidRDefault="00000000">
            <w:pPr>
              <w:spacing w:after="120" w:line="288" w:lineRule="auto"/>
            </w:pPr>
            <w:r>
              <w:t>Allgemein (Farbe)</w:t>
            </w:r>
          </w:p>
        </w:tc>
        <w:tc>
          <w:tcPr>
            <w:tcW w:w="4111" w:type="dxa"/>
            <w:noWrap/>
          </w:tcPr>
          <w:p w14:paraId="1C075AB8" w14:textId="77777777" w:rsidR="00526D37" w:rsidRDefault="00000000">
            <w:pPr>
              <w:spacing w:after="120" w:line="288" w:lineRule="auto"/>
            </w:pPr>
            <w:r>
              <w:t>Die Verwendung von Farben ist allgemein sparsam.</w:t>
            </w:r>
          </w:p>
        </w:tc>
        <w:tc>
          <w:tcPr>
            <w:tcW w:w="2976" w:type="dxa"/>
            <w:noWrap/>
          </w:tcPr>
          <w:p w14:paraId="612FF492" w14:textId="77777777" w:rsidR="00526D37" w:rsidRDefault="00000000">
            <w:pPr>
              <w:spacing w:after="120" w:line="288" w:lineRule="auto"/>
            </w:pPr>
            <w:r>
              <w:t xml:space="preserve">… nicht alle Farben eindeutig wahrnehmen. </w:t>
            </w:r>
          </w:p>
          <w:p w14:paraId="07C679EE" w14:textId="77777777" w:rsidR="00526D37" w:rsidRDefault="00000000">
            <w:pPr>
              <w:spacing w:after="120" w:line="288" w:lineRule="auto"/>
            </w:pPr>
            <w:r>
              <w:t xml:space="preserve">… sich von Farben ablenken lassen. </w:t>
            </w:r>
          </w:p>
          <w:p w14:paraId="644060B9" w14:textId="77777777" w:rsidR="00526D37" w:rsidRDefault="00000000">
            <w:pPr>
              <w:spacing w:after="120" w:line="288" w:lineRule="auto"/>
            </w:pPr>
            <w:r>
              <w:t>… Reize stark wahrnehmen.</w:t>
            </w:r>
          </w:p>
          <w:p w14:paraId="14CB7B11" w14:textId="77777777" w:rsidR="00526D37" w:rsidRDefault="00000000">
            <w:pPr>
              <w:spacing w:after="120" w:line="288" w:lineRule="auto"/>
            </w:pPr>
            <w:r>
              <w:rPr>
                <w:rFonts w:ascii="Calibri" w:eastAsia="Calibri" w:hAnsi="Calibri" w:cs="Calibri"/>
                <w:color w:val="000000"/>
              </w:rPr>
              <w:t>… unabhängig von farbiger Darstellung arbeiten.</w:t>
            </w:r>
          </w:p>
        </w:tc>
      </w:tr>
      <w:tr w:rsidR="00526D37" w14:paraId="1268C725" w14:textId="77777777">
        <w:trPr>
          <w:cantSplit/>
          <w:trHeight w:val="403"/>
        </w:trPr>
        <w:tc>
          <w:tcPr>
            <w:tcW w:w="988" w:type="dxa"/>
            <w:noWrap/>
          </w:tcPr>
          <w:p w14:paraId="06E3FF9A" w14:textId="77777777" w:rsidR="00526D37" w:rsidRDefault="00000000">
            <w:pPr>
              <w:spacing w:after="120" w:line="288" w:lineRule="auto"/>
            </w:pPr>
            <w:r>
              <w:t>1.3</w:t>
            </w:r>
          </w:p>
        </w:tc>
        <w:tc>
          <w:tcPr>
            <w:tcW w:w="1559" w:type="dxa"/>
            <w:noWrap/>
          </w:tcPr>
          <w:p w14:paraId="73D16087" w14:textId="77777777" w:rsidR="00526D37" w:rsidRDefault="00000000">
            <w:pPr>
              <w:spacing w:after="120" w:line="288" w:lineRule="auto"/>
            </w:pPr>
            <w:r>
              <w:t>Allgemein (Farbe)</w:t>
            </w:r>
          </w:p>
        </w:tc>
        <w:tc>
          <w:tcPr>
            <w:tcW w:w="4111" w:type="dxa"/>
            <w:noWrap/>
          </w:tcPr>
          <w:p w14:paraId="427113FA" w14:textId="77777777" w:rsidR="00526D37" w:rsidRDefault="00000000">
            <w:pPr>
              <w:spacing w:after="120" w:line="288" w:lineRule="auto"/>
            </w:pPr>
            <w:r>
              <w:t>Wenn Farben zur Übermittlung von Informationen eingesetzt werden (z.B. in Diagrammen oder zur Markierung von Texten), vermitteln auch Beschriftungen, Symbole oder Muster die gleichen Informationen.</w:t>
            </w:r>
          </w:p>
        </w:tc>
        <w:tc>
          <w:tcPr>
            <w:tcW w:w="2976" w:type="dxa"/>
            <w:noWrap/>
          </w:tcPr>
          <w:p w14:paraId="07183E42" w14:textId="77777777" w:rsidR="00526D37" w:rsidRDefault="00000000">
            <w:pPr>
              <w:spacing w:after="120" w:line="288" w:lineRule="auto"/>
            </w:pPr>
            <w:r>
              <w:t>… unabhängig von farbiger Darstellung arbeiten.</w:t>
            </w:r>
          </w:p>
          <w:p w14:paraId="481914AF" w14:textId="77777777" w:rsidR="00526D37"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xml:space="preserve">… sich von Farben ablenken lassen. </w:t>
            </w:r>
          </w:p>
          <w:p w14:paraId="053B6BF3" w14:textId="77777777" w:rsidR="00526D37"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Reize stark wahrnehmen.</w:t>
            </w:r>
          </w:p>
          <w:p w14:paraId="53A8EBBE" w14:textId="77777777" w:rsidR="00526D37" w:rsidRDefault="00000000">
            <w:pPr>
              <w:spacing w:after="120" w:line="288" w:lineRule="auto"/>
            </w:pPr>
            <w:r>
              <w:rPr>
                <w:rFonts w:ascii="Calibri" w:eastAsia="Calibri" w:hAnsi="Calibri" w:cs="Calibri"/>
                <w:color w:val="000000"/>
              </w:rPr>
              <w:t>… nicht alle Farben eindeutig wahrnehmen</w:t>
            </w:r>
            <w:r>
              <w:t>.</w:t>
            </w:r>
          </w:p>
        </w:tc>
      </w:tr>
      <w:tr w:rsidR="00526D37" w14:paraId="176622B2" w14:textId="77777777">
        <w:trPr>
          <w:cantSplit/>
        </w:trPr>
        <w:tc>
          <w:tcPr>
            <w:tcW w:w="988" w:type="dxa"/>
            <w:noWrap/>
          </w:tcPr>
          <w:p w14:paraId="58AC983A" w14:textId="77777777" w:rsidR="00526D37" w:rsidRDefault="00000000">
            <w:pPr>
              <w:spacing w:after="120" w:line="288" w:lineRule="auto"/>
            </w:pPr>
            <w:r>
              <w:t>2.1</w:t>
            </w:r>
          </w:p>
        </w:tc>
        <w:tc>
          <w:tcPr>
            <w:tcW w:w="1559" w:type="dxa"/>
            <w:noWrap/>
          </w:tcPr>
          <w:p w14:paraId="7058D557" w14:textId="77777777" w:rsidR="00526D37" w:rsidRDefault="00000000">
            <w:pPr>
              <w:spacing w:after="120" w:line="288" w:lineRule="auto"/>
            </w:pPr>
            <w:r>
              <w:t>Dokument</w:t>
            </w:r>
          </w:p>
          <w:p w14:paraId="1AFD5681" w14:textId="77777777" w:rsidR="00526D37" w:rsidRDefault="00000000">
            <w:pPr>
              <w:spacing w:after="120" w:line="288" w:lineRule="auto"/>
            </w:pPr>
            <w:r>
              <w:t>(Sprache)</w:t>
            </w:r>
          </w:p>
        </w:tc>
        <w:tc>
          <w:tcPr>
            <w:tcW w:w="4111" w:type="dxa"/>
            <w:noWrap/>
          </w:tcPr>
          <w:p w14:paraId="03EC5BEC" w14:textId="77777777" w:rsidR="00526D37" w:rsidRDefault="00000000">
            <w:pPr>
              <w:spacing w:after="120" w:line="288" w:lineRule="auto"/>
            </w:pPr>
            <w:r>
              <w:t>Die Hauptsprache des Dokuments entspricht der eingestellten Sprache für die Rechtschreibprüfung.</w:t>
            </w:r>
          </w:p>
        </w:tc>
        <w:tc>
          <w:tcPr>
            <w:tcW w:w="2976" w:type="dxa"/>
            <w:noWrap/>
          </w:tcPr>
          <w:p w14:paraId="1D8F2409"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034AC2B3" w14:textId="77777777">
        <w:trPr>
          <w:cantSplit/>
        </w:trPr>
        <w:tc>
          <w:tcPr>
            <w:tcW w:w="988" w:type="dxa"/>
            <w:noWrap/>
          </w:tcPr>
          <w:p w14:paraId="444DCDB2" w14:textId="77777777" w:rsidR="00526D37" w:rsidRDefault="00000000">
            <w:pPr>
              <w:spacing w:after="120" w:line="288" w:lineRule="auto"/>
            </w:pPr>
            <w:r>
              <w:t>2.2</w:t>
            </w:r>
          </w:p>
        </w:tc>
        <w:tc>
          <w:tcPr>
            <w:tcW w:w="1559" w:type="dxa"/>
            <w:noWrap/>
          </w:tcPr>
          <w:p w14:paraId="77D906FE" w14:textId="77777777" w:rsidR="00526D37" w:rsidRDefault="00000000">
            <w:pPr>
              <w:spacing w:after="120" w:line="288" w:lineRule="auto"/>
            </w:pPr>
            <w:r>
              <w:t>Dokument</w:t>
            </w:r>
          </w:p>
        </w:tc>
        <w:tc>
          <w:tcPr>
            <w:tcW w:w="4111" w:type="dxa"/>
            <w:noWrap/>
          </w:tcPr>
          <w:p w14:paraId="5BEE3C9A" w14:textId="77777777" w:rsidR="00526D37" w:rsidRDefault="00000000">
            <w:pPr>
              <w:spacing w:after="120" w:line="288" w:lineRule="auto"/>
            </w:pPr>
            <w:r>
              <w:t>Der Titel ist bei den Metadaten hinterlegt, aussagekräftig und leicht verständlich und entspricht der ersten Überschrift des Dokuments.</w:t>
            </w:r>
          </w:p>
        </w:tc>
        <w:tc>
          <w:tcPr>
            <w:tcW w:w="2976" w:type="dxa"/>
            <w:noWrap/>
          </w:tcPr>
          <w:p w14:paraId="5D97C360"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222F1524" w14:textId="77777777" w:rsidR="00526D37" w:rsidRDefault="00000000">
            <w:pPr>
              <w:spacing w:after="120" w:line="288" w:lineRule="auto"/>
            </w:pPr>
            <w:r>
              <w:t>…</w:t>
            </w:r>
            <w:r>
              <w:rPr>
                <w:rFonts w:ascii="Calibri" w:hAnsi="Calibri" w:cs="Calibri"/>
                <w:color w:val="000000"/>
              </w:rPr>
              <w:t xml:space="preserve"> </w:t>
            </w:r>
            <w:r>
              <w:rPr>
                <w:rStyle w:val="docdata"/>
                <w:rFonts w:ascii="Calibri" w:hAnsi="Calibri" w:cs="Calibri"/>
                <w:color w:val="000000"/>
              </w:rPr>
              <w:t xml:space="preserve">ein </w:t>
            </w:r>
            <w:r>
              <w:rPr>
                <w:rStyle w:val="docdata"/>
                <w:rFonts w:cstheme="minorHAnsi"/>
                <w:color w:val="000000"/>
              </w:rPr>
              <w:t>Dokument</w:t>
            </w:r>
            <w:r>
              <w:rPr>
                <w:rStyle w:val="docdata"/>
                <w:rFonts w:ascii="Calibri" w:hAnsi="Calibri" w:cs="Calibri"/>
                <w:color w:val="000000"/>
              </w:rPr>
              <w:t xml:space="preserve"> über eine Suchmaschine finden wollen.</w:t>
            </w:r>
          </w:p>
        </w:tc>
      </w:tr>
      <w:tr w:rsidR="00526D37" w14:paraId="6BAEE6F4" w14:textId="77777777">
        <w:trPr>
          <w:cantSplit/>
        </w:trPr>
        <w:tc>
          <w:tcPr>
            <w:tcW w:w="988" w:type="dxa"/>
            <w:noWrap/>
          </w:tcPr>
          <w:p w14:paraId="661BFE7A" w14:textId="77777777" w:rsidR="00526D37" w:rsidRDefault="00000000">
            <w:pPr>
              <w:spacing w:after="120" w:line="288" w:lineRule="auto"/>
            </w:pPr>
            <w:r>
              <w:t>2.3</w:t>
            </w:r>
          </w:p>
        </w:tc>
        <w:tc>
          <w:tcPr>
            <w:tcW w:w="1559" w:type="dxa"/>
            <w:noWrap/>
          </w:tcPr>
          <w:p w14:paraId="5AFE8A07" w14:textId="77777777" w:rsidR="00526D37" w:rsidRDefault="00000000">
            <w:pPr>
              <w:spacing w:after="120" w:line="288" w:lineRule="auto"/>
            </w:pPr>
            <w:r>
              <w:t>Dokument</w:t>
            </w:r>
          </w:p>
        </w:tc>
        <w:tc>
          <w:tcPr>
            <w:tcW w:w="4111" w:type="dxa"/>
            <w:noWrap/>
          </w:tcPr>
          <w:p w14:paraId="72021B1D" w14:textId="77777777" w:rsidR="00526D37" w:rsidRDefault="00000000">
            <w:pPr>
              <w:spacing w:after="120" w:line="288" w:lineRule="auto"/>
            </w:pPr>
            <w:r>
              <w:t>Umfangreiche Dokumente haben zu Beginn ein Inhaltsverzeichnis.</w:t>
            </w:r>
          </w:p>
        </w:tc>
        <w:tc>
          <w:tcPr>
            <w:tcW w:w="2976" w:type="dxa"/>
            <w:noWrap/>
          </w:tcPr>
          <w:p w14:paraId="55D708F1" w14:textId="77777777" w:rsidR="00526D37" w:rsidRDefault="00000000">
            <w:pPr>
              <w:spacing w:after="120" w:line="288" w:lineRule="auto"/>
            </w:pPr>
            <w:r>
              <w:t>… sich orientieren möchten.</w:t>
            </w:r>
          </w:p>
          <w:p w14:paraId="357EE47C" w14:textId="77777777" w:rsidR="00526D37" w:rsidRDefault="00000000">
            <w:pPr>
              <w:spacing w:after="120" w:line="288" w:lineRule="auto"/>
            </w:pPr>
            <w:r>
              <w:t>… Struktur benötigen/ wünschen.</w:t>
            </w:r>
          </w:p>
          <w:p w14:paraId="60104834" w14:textId="77777777" w:rsidR="00526D37" w:rsidRDefault="00000000">
            <w:pPr>
              <w:spacing w:after="120" w:line="288" w:lineRule="auto"/>
            </w:pPr>
            <w:r>
              <w:t>… sich schnell zurechtfinden wollen.</w:t>
            </w:r>
          </w:p>
        </w:tc>
      </w:tr>
      <w:tr w:rsidR="00526D37" w14:paraId="0A724B62" w14:textId="77777777">
        <w:trPr>
          <w:cantSplit/>
        </w:trPr>
        <w:tc>
          <w:tcPr>
            <w:tcW w:w="988" w:type="dxa"/>
            <w:noWrap/>
          </w:tcPr>
          <w:p w14:paraId="2FDF0658" w14:textId="77777777" w:rsidR="00526D37" w:rsidRDefault="00000000">
            <w:pPr>
              <w:spacing w:after="120" w:line="288" w:lineRule="auto"/>
            </w:pPr>
            <w:bookmarkStart w:id="3" w:name="_Hlk111211150"/>
            <w:r>
              <w:lastRenderedPageBreak/>
              <w:t>2.4</w:t>
            </w:r>
          </w:p>
        </w:tc>
        <w:tc>
          <w:tcPr>
            <w:tcW w:w="1559" w:type="dxa"/>
            <w:noWrap/>
          </w:tcPr>
          <w:p w14:paraId="1A03206F" w14:textId="77777777" w:rsidR="00526D37" w:rsidRDefault="00000000">
            <w:pPr>
              <w:spacing w:after="120" w:line="288" w:lineRule="auto"/>
            </w:pPr>
            <w:r>
              <w:t>Dokument</w:t>
            </w:r>
          </w:p>
        </w:tc>
        <w:tc>
          <w:tcPr>
            <w:tcW w:w="4111" w:type="dxa"/>
            <w:noWrap/>
          </w:tcPr>
          <w:p w14:paraId="04FFFA3A" w14:textId="77777777" w:rsidR="00526D37" w:rsidRDefault="00000000">
            <w:pPr>
              <w:spacing w:after="120" w:line="288" w:lineRule="auto"/>
            </w:pPr>
            <w:r>
              <w:t>Die Kopf- und Fußzeile sind mit entsprechenden Formatvorlagen erstellt und frei von relevanten Informationen (Seitenzahlen sind erlaubt).</w:t>
            </w:r>
          </w:p>
        </w:tc>
        <w:tc>
          <w:tcPr>
            <w:tcW w:w="2976" w:type="dxa"/>
            <w:noWrap/>
          </w:tcPr>
          <w:p w14:paraId="6B2F2383" w14:textId="77777777" w:rsidR="00526D37" w:rsidRDefault="00000000">
            <w:pPr>
              <w:spacing w:after="120" w:line="288" w:lineRule="auto"/>
              <w:rPr>
                <w:rFonts w:ascii="Calibri" w:hAnsi="Calibri" w:cs="Calibri"/>
                <w:color w:val="000000"/>
              </w:rPr>
            </w:pPr>
            <w:r>
              <w:rPr>
                <w:rStyle w:val="docdata"/>
                <w:rFonts w:ascii="Calibri" w:hAnsi="Calibri" w:cs="Calibri"/>
                <w:color w:val="000000"/>
              </w:rPr>
              <w:t xml:space="preserve">... eine Sprachausgabe oder einen Screenreader nutzen </w:t>
            </w:r>
            <w:r>
              <w:t>und im Lesefluss nicht unterbrochen werden wollen.</w:t>
            </w:r>
            <w:bookmarkEnd w:id="3"/>
          </w:p>
        </w:tc>
      </w:tr>
      <w:tr w:rsidR="00526D37" w14:paraId="6F17486B" w14:textId="77777777">
        <w:trPr>
          <w:cantSplit/>
        </w:trPr>
        <w:tc>
          <w:tcPr>
            <w:tcW w:w="988" w:type="dxa"/>
            <w:noWrap/>
          </w:tcPr>
          <w:p w14:paraId="5DC2AC91" w14:textId="77777777" w:rsidR="00526D37" w:rsidRDefault="00000000">
            <w:pPr>
              <w:spacing w:after="120" w:line="288" w:lineRule="auto"/>
            </w:pPr>
            <w:r>
              <w:t>2.5</w:t>
            </w:r>
          </w:p>
        </w:tc>
        <w:tc>
          <w:tcPr>
            <w:tcW w:w="1559" w:type="dxa"/>
            <w:noWrap/>
          </w:tcPr>
          <w:p w14:paraId="106318D6" w14:textId="77777777" w:rsidR="00526D37" w:rsidRDefault="00000000">
            <w:pPr>
              <w:spacing w:after="120" w:line="288" w:lineRule="auto"/>
            </w:pPr>
            <w:r>
              <w:t>Dokument</w:t>
            </w:r>
          </w:p>
        </w:tc>
        <w:tc>
          <w:tcPr>
            <w:tcW w:w="4111" w:type="dxa"/>
            <w:noWrap/>
          </w:tcPr>
          <w:p w14:paraId="44BC7B45" w14:textId="77777777" w:rsidR="00526D37" w:rsidRDefault="00000000">
            <w:pPr>
              <w:spacing w:after="120" w:line="288" w:lineRule="auto"/>
            </w:pPr>
            <w:r>
              <w:t>Fuß-, Endnoten und Verweise basieren auf den Funktionen, die Word unter „Referenzen“ bietet.</w:t>
            </w:r>
          </w:p>
        </w:tc>
        <w:tc>
          <w:tcPr>
            <w:tcW w:w="2976" w:type="dxa"/>
            <w:noWrap/>
          </w:tcPr>
          <w:p w14:paraId="0DD1E262" w14:textId="77777777" w:rsidR="00526D37" w:rsidRDefault="00000000">
            <w:pPr>
              <w:spacing w:after="120" w:line="288" w:lineRule="auto"/>
            </w:pPr>
            <w:r>
              <w:t xml:space="preserve">… eine Sprachausgabe nutzen. </w:t>
            </w:r>
          </w:p>
          <w:p w14:paraId="47E674AF" w14:textId="77777777" w:rsidR="00526D37" w:rsidRDefault="00000000">
            <w:pPr>
              <w:spacing w:after="120" w:line="288" w:lineRule="auto"/>
            </w:pPr>
            <w:r>
              <w:t>… nur mit der Tastatur navigieren.</w:t>
            </w:r>
          </w:p>
        </w:tc>
      </w:tr>
      <w:tr w:rsidR="00526D37" w14:paraId="51831C3B" w14:textId="77777777">
        <w:trPr>
          <w:cantSplit/>
        </w:trPr>
        <w:tc>
          <w:tcPr>
            <w:tcW w:w="988" w:type="dxa"/>
            <w:noWrap/>
          </w:tcPr>
          <w:p w14:paraId="6B4231D2" w14:textId="77777777" w:rsidR="00526D37" w:rsidRDefault="00000000">
            <w:pPr>
              <w:spacing w:after="120" w:line="288" w:lineRule="auto"/>
            </w:pPr>
            <w:r>
              <w:t>3.1</w:t>
            </w:r>
          </w:p>
        </w:tc>
        <w:tc>
          <w:tcPr>
            <w:tcW w:w="1559" w:type="dxa"/>
            <w:noWrap/>
          </w:tcPr>
          <w:p w14:paraId="657E365B" w14:textId="77777777" w:rsidR="00526D37" w:rsidRDefault="00000000">
            <w:pPr>
              <w:spacing w:after="120" w:line="288" w:lineRule="auto"/>
            </w:pPr>
            <w:r>
              <w:t>Text</w:t>
            </w:r>
          </w:p>
          <w:p w14:paraId="35F81EA5" w14:textId="77777777" w:rsidR="00526D37" w:rsidRDefault="00000000">
            <w:pPr>
              <w:spacing w:after="120" w:line="288" w:lineRule="auto"/>
            </w:pPr>
            <w:r>
              <w:t>(Sprache)</w:t>
            </w:r>
          </w:p>
        </w:tc>
        <w:tc>
          <w:tcPr>
            <w:tcW w:w="4111" w:type="dxa"/>
            <w:noWrap/>
          </w:tcPr>
          <w:p w14:paraId="0ABC74C4" w14:textId="77777777" w:rsidR="00526D37" w:rsidRDefault="00000000">
            <w:pPr>
              <w:spacing w:after="120" w:line="288" w:lineRule="auto"/>
            </w:pPr>
            <w:r>
              <w:t>Die von der Hauptsprache abweichenden Textpassagen sind jeweils mit der passenden Sprache markiert (Sprachwechsel).</w:t>
            </w:r>
          </w:p>
        </w:tc>
        <w:tc>
          <w:tcPr>
            <w:tcW w:w="2976" w:type="dxa"/>
            <w:noWrap/>
          </w:tcPr>
          <w:p w14:paraId="7AD827FD"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01AF87CB" w14:textId="77777777">
        <w:trPr>
          <w:cantSplit/>
        </w:trPr>
        <w:tc>
          <w:tcPr>
            <w:tcW w:w="988" w:type="dxa"/>
            <w:noWrap/>
          </w:tcPr>
          <w:p w14:paraId="2DDEDF13" w14:textId="77777777" w:rsidR="00526D37" w:rsidRDefault="00000000">
            <w:pPr>
              <w:spacing w:after="120" w:line="288" w:lineRule="auto"/>
            </w:pPr>
            <w:r>
              <w:t>3.2</w:t>
            </w:r>
          </w:p>
        </w:tc>
        <w:tc>
          <w:tcPr>
            <w:tcW w:w="1559" w:type="dxa"/>
            <w:noWrap/>
          </w:tcPr>
          <w:p w14:paraId="5A2094FF" w14:textId="77777777" w:rsidR="00526D37" w:rsidRDefault="00000000">
            <w:pPr>
              <w:spacing w:after="120" w:line="288" w:lineRule="auto"/>
            </w:pPr>
            <w:r>
              <w:t>Text</w:t>
            </w:r>
          </w:p>
        </w:tc>
        <w:tc>
          <w:tcPr>
            <w:tcW w:w="4111" w:type="dxa"/>
            <w:noWrap/>
          </w:tcPr>
          <w:p w14:paraId="2F00E436" w14:textId="77777777" w:rsidR="00526D37" w:rsidRDefault="00000000">
            <w:pPr>
              <w:spacing w:after="120" w:line="288" w:lineRule="auto"/>
            </w:pPr>
            <w:r>
              <w:t xml:space="preserve">Die Schrift ist serifenlos (z.B. Arial, Helvetica) und nicht zu dick oder zu dünn. </w:t>
            </w:r>
          </w:p>
        </w:tc>
        <w:tc>
          <w:tcPr>
            <w:tcW w:w="2976" w:type="dxa"/>
            <w:noWrap/>
          </w:tcPr>
          <w:p w14:paraId="503FC2D5" w14:textId="77777777" w:rsidR="00526D37" w:rsidRDefault="00000000">
            <w:pPr>
              <w:spacing w:after="120" w:line="288" w:lineRule="auto"/>
            </w:pPr>
            <w:r>
              <w:t>… Schwierigkeiten haben, dem Lesefluss zu folgen.</w:t>
            </w:r>
          </w:p>
          <w:p w14:paraId="39224FB4" w14:textId="77777777" w:rsidR="00526D37" w:rsidRDefault="00000000">
            <w:pPr>
              <w:spacing w:after="120" w:line="288" w:lineRule="auto"/>
            </w:pPr>
            <w:r>
              <w:t>… Schwierigkeiten haben, den Text zu erkennen/lesen.</w:t>
            </w:r>
          </w:p>
          <w:p w14:paraId="74587C90" w14:textId="77777777" w:rsidR="00526D37" w:rsidRDefault="00000000">
            <w:pPr>
              <w:spacing w:after="120" w:line="288" w:lineRule="auto"/>
            </w:pPr>
            <w:r>
              <w:t>… Struktur benötigen/ wünschen.</w:t>
            </w:r>
          </w:p>
        </w:tc>
      </w:tr>
      <w:tr w:rsidR="00526D37" w14:paraId="00142EA2" w14:textId="77777777">
        <w:trPr>
          <w:cantSplit/>
        </w:trPr>
        <w:tc>
          <w:tcPr>
            <w:tcW w:w="988" w:type="dxa"/>
            <w:noWrap/>
          </w:tcPr>
          <w:p w14:paraId="45F92461" w14:textId="77777777" w:rsidR="00526D37" w:rsidRDefault="00000000">
            <w:pPr>
              <w:spacing w:after="120" w:line="288" w:lineRule="auto"/>
            </w:pPr>
            <w:r>
              <w:t>3.3</w:t>
            </w:r>
          </w:p>
        </w:tc>
        <w:tc>
          <w:tcPr>
            <w:tcW w:w="1559" w:type="dxa"/>
            <w:noWrap/>
          </w:tcPr>
          <w:p w14:paraId="01F56879" w14:textId="77777777" w:rsidR="00526D37" w:rsidRDefault="00000000">
            <w:pPr>
              <w:spacing w:after="120" w:line="288" w:lineRule="auto"/>
            </w:pPr>
            <w:r>
              <w:t xml:space="preserve">Text </w:t>
            </w:r>
          </w:p>
        </w:tc>
        <w:tc>
          <w:tcPr>
            <w:tcW w:w="4111" w:type="dxa"/>
            <w:noWrap/>
          </w:tcPr>
          <w:p w14:paraId="3EB59C29" w14:textId="77777777" w:rsidR="00526D37" w:rsidRDefault="00000000">
            <w:pPr>
              <w:spacing w:after="120" w:line="288" w:lineRule="auto"/>
            </w:pPr>
            <w:r>
              <w:t>Hervorhebungen durch Großbuchstaben, Kursiv, Fett, Unterstrichen oder Texteffekte (Farbverlauf als Farbfüllung, Leuchteffekte, Textkontur) sind sparsam angewendet.</w:t>
            </w:r>
          </w:p>
        </w:tc>
        <w:tc>
          <w:tcPr>
            <w:tcW w:w="2976" w:type="dxa"/>
            <w:noWrap/>
          </w:tcPr>
          <w:p w14:paraId="58349F32" w14:textId="77777777" w:rsidR="00526D37" w:rsidRDefault="00000000">
            <w:pPr>
              <w:spacing w:after="120" w:line="288" w:lineRule="auto"/>
            </w:pPr>
            <w:r>
              <w:t>… Schwierigkeiten haben, dem Lesefluss zu folgen</w:t>
            </w:r>
          </w:p>
          <w:p w14:paraId="75CC2AE3" w14:textId="77777777" w:rsidR="00526D37" w:rsidRDefault="00000000">
            <w:pPr>
              <w:spacing w:after="120" w:line="288" w:lineRule="auto"/>
            </w:pPr>
            <w:r>
              <w:t>... Schwierigkeiten haben, den Text zu erkennen/lesen.</w:t>
            </w:r>
          </w:p>
          <w:p w14:paraId="34962B9E" w14:textId="77777777" w:rsidR="00526D37" w:rsidRDefault="00000000">
            <w:pPr>
              <w:spacing w:after="120" w:line="288" w:lineRule="auto"/>
            </w:pPr>
            <w:r>
              <w:t>… Struktur benötigen/ wünschen.</w:t>
            </w:r>
          </w:p>
        </w:tc>
      </w:tr>
      <w:tr w:rsidR="00526D37" w14:paraId="0418E7F5" w14:textId="77777777">
        <w:trPr>
          <w:cantSplit/>
        </w:trPr>
        <w:tc>
          <w:tcPr>
            <w:tcW w:w="988" w:type="dxa"/>
            <w:noWrap/>
          </w:tcPr>
          <w:p w14:paraId="214DB55A" w14:textId="77777777" w:rsidR="00526D37" w:rsidRDefault="00000000">
            <w:pPr>
              <w:spacing w:after="120" w:line="288" w:lineRule="auto"/>
            </w:pPr>
            <w:r>
              <w:t>3.4</w:t>
            </w:r>
          </w:p>
        </w:tc>
        <w:tc>
          <w:tcPr>
            <w:tcW w:w="1559" w:type="dxa"/>
            <w:noWrap/>
          </w:tcPr>
          <w:p w14:paraId="3D32EF86" w14:textId="77777777" w:rsidR="00526D37" w:rsidRDefault="00000000">
            <w:pPr>
              <w:spacing w:after="120" w:line="288" w:lineRule="auto"/>
            </w:pPr>
            <w:r>
              <w:t>Text</w:t>
            </w:r>
          </w:p>
        </w:tc>
        <w:tc>
          <w:tcPr>
            <w:tcW w:w="4111" w:type="dxa"/>
            <w:noWrap/>
          </w:tcPr>
          <w:p w14:paraId="661BC723" w14:textId="77777777" w:rsidR="00526D37" w:rsidRDefault="00000000">
            <w:pPr>
              <w:spacing w:after="120" w:line="288" w:lineRule="auto"/>
            </w:pPr>
            <w:r>
              <w:t>Der Zeilenabstand beträgt mind. 1,2 Pt.</w:t>
            </w:r>
          </w:p>
        </w:tc>
        <w:tc>
          <w:tcPr>
            <w:tcW w:w="2976" w:type="dxa"/>
            <w:noWrap/>
          </w:tcPr>
          <w:p w14:paraId="52B3734A" w14:textId="77777777" w:rsidR="00526D37" w:rsidRDefault="00000000">
            <w:pPr>
              <w:spacing w:after="120" w:line="288" w:lineRule="auto"/>
            </w:pPr>
            <w:r>
              <w:t>… Schwierigkeiten haben, konzentriert dem Lesefluss zu folgen.</w:t>
            </w:r>
          </w:p>
          <w:p w14:paraId="495AB519" w14:textId="77777777" w:rsidR="00526D37" w:rsidRDefault="00000000">
            <w:pPr>
              <w:spacing w:after="120" w:line="288" w:lineRule="auto"/>
            </w:pPr>
            <w:r>
              <w:t xml:space="preserve">… den Text zu erkennen/lesen. </w:t>
            </w:r>
          </w:p>
          <w:p w14:paraId="37E26A68" w14:textId="77777777" w:rsidR="00526D37" w:rsidRDefault="00000000">
            <w:pPr>
              <w:tabs>
                <w:tab w:val="center" w:pos="1380"/>
              </w:tabs>
              <w:spacing w:after="120" w:line="288" w:lineRule="auto"/>
            </w:pPr>
            <w:r>
              <w:t>… Struktur benötigen/ wünschen.</w:t>
            </w:r>
          </w:p>
        </w:tc>
      </w:tr>
      <w:tr w:rsidR="00526D37" w14:paraId="176EB247" w14:textId="77777777">
        <w:trPr>
          <w:cantSplit/>
          <w:trHeight w:val="403"/>
        </w:trPr>
        <w:tc>
          <w:tcPr>
            <w:tcW w:w="988" w:type="dxa"/>
            <w:noWrap/>
          </w:tcPr>
          <w:p w14:paraId="4A87631E" w14:textId="77777777" w:rsidR="00526D37" w:rsidRDefault="00000000">
            <w:pPr>
              <w:spacing w:after="120" w:line="288" w:lineRule="auto"/>
            </w:pPr>
            <w:r>
              <w:t>3.5</w:t>
            </w:r>
          </w:p>
        </w:tc>
        <w:tc>
          <w:tcPr>
            <w:tcW w:w="1559" w:type="dxa"/>
            <w:noWrap/>
          </w:tcPr>
          <w:p w14:paraId="46F249D1" w14:textId="77777777" w:rsidR="00526D37" w:rsidRDefault="00000000">
            <w:pPr>
              <w:spacing w:after="120" w:line="288" w:lineRule="auto"/>
            </w:pPr>
            <w:r>
              <w:t>Text</w:t>
            </w:r>
          </w:p>
        </w:tc>
        <w:tc>
          <w:tcPr>
            <w:tcW w:w="4111" w:type="dxa"/>
            <w:noWrap/>
          </w:tcPr>
          <w:p w14:paraId="5806C18C" w14:textId="77777777" w:rsidR="00526D37" w:rsidRDefault="00000000">
            <w:pPr>
              <w:spacing w:after="120" w:line="288" w:lineRule="auto"/>
            </w:pPr>
            <w:r>
              <w:t>Der Text ist linksbündig ausgerichtet.</w:t>
            </w:r>
          </w:p>
        </w:tc>
        <w:tc>
          <w:tcPr>
            <w:tcW w:w="2976" w:type="dxa"/>
            <w:noWrap/>
          </w:tcPr>
          <w:p w14:paraId="163C03E9" w14:textId="77777777" w:rsidR="00526D37" w:rsidRDefault="00000000">
            <w:pPr>
              <w:spacing w:after="120" w:line="288" w:lineRule="auto"/>
            </w:pPr>
            <w:r>
              <w:t>… Schwierigkeiten haben, dem Lesefluss zu folgen.</w:t>
            </w:r>
          </w:p>
        </w:tc>
      </w:tr>
      <w:tr w:rsidR="00526D37" w14:paraId="16C07843" w14:textId="77777777">
        <w:trPr>
          <w:cantSplit/>
          <w:trHeight w:val="403"/>
        </w:trPr>
        <w:tc>
          <w:tcPr>
            <w:tcW w:w="988" w:type="dxa"/>
            <w:noWrap/>
          </w:tcPr>
          <w:p w14:paraId="0CB9FCDA" w14:textId="77777777" w:rsidR="00526D37" w:rsidRDefault="00000000">
            <w:pPr>
              <w:spacing w:after="120" w:line="288" w:lineRule="auto"/>
            </w:pPr>
            <w:r>
              <w:lastRenderedPageBreak/>
              <w:t>3.6</w:t>
            </w:r>
          </w:p>
        </w:tc>
        <w:tc>
          <w:tcPr>
            <w:tcW w:w="1559" w:type="dxa"/>
            <w:noWrap/>
          </w:tcPr>
          <w:p w14:paraId="5625ED5E" w14:textId="77777777" w:rsidR="00526D37" w:rsidRDefault="00000000">
            <w:pPr>
              <w:spacing w:after="120" w:line="288" w:lineRule="auto"/>
            </w:pPr>
            <w:r>
              <w:t>Text</w:t>
            </w:r>
          </w:p>
        </w:tc>
        <w:tc>
          <w:tcPr>
            <w:tcW w:w="4111" w:type="dxa"/>
            <w:noWrap/>
          </w:tcPr>
          <w:p w14:paraId="08101581" w14:textId="77777777" w:rsidR="00526D37" w:rsidRDefault="00000000">
            <w:pPr>
              <w:spacing w:after="120" w:line="288" w:lineRule="auto"/>
            </w:pPr>
            <w:r>
              <w:t>Absätze sind nicht mit Tabulator oder weichem Zeilenumbruch, sondern mit dem Absatzumbruch erstellt (d.h., es gibt keine Leerzeilen im Dokument).</w:t>
            </w:r>
          </w:p>
        </w:tc>
        <w:tc>
          <w:tcPr>
            <w:tcW w:w="2976" w:type="dxa"/>
            <w:noWrap/>
          </w:tcPr>
          <w:p w14:paraId="6C15ADFB"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4D4D9F19" w14:textId="77777777">
        <w:trPr>
          <w:cantSplit/>
        </w:trPr>
        <w:tc>
          <w:tcPr>
            <w:tcW w:w="988" w:type="dxa"/>
            <w:noWrap/>
          </w:tcPr>
          <w:p w14:paraId="70D26267" w14:textId="77777777" w:rsidR="00526D37" w:rsidRDefault="00000000">
            <w:pPr>
              <w:spacing w:after="120" w:line="288" w:lineRule="auto"/>
            </w:pPr>
            <w:r>
              <w:t>3.7</w:t>
            </w:r>
          </w:p>
        </w:tc>
        <w:tc>
          <w:tcPr>
            <w:tcW w:w="1559" w:type="dxa"/>
            <w:noWrap/>
          </w:tcPr>
          <w:p w14:paraId="5215EEDF" w14:textId="77777777" w:rsidR="00526D37" w:rsidRDefault="00000000">
            <w:pPr>
              <w:spacing w:after="120" w:line="288" w:lineRule="auto"/>
            </w:pPr>
            <w:r>
              <w:t>Text</w:t>
            </w:r>
          </w:p>
        </w:tc>
        <w:tc>
          <w:tcPr>
            <w:tcW w:w="4111" w:type="dxa"/>
            <w:noWrap/>
          </w:tcPr>
          <w:p w14:paraId="2E79B8C1" w14:textId="77777777" w:rsidR="00526D37" w:rsidRDefault="00000000">
            <w:pPr>
              <w:spacing w:after="120" w:line="288" w:lineRule="auto"/>
            </w:pPr>
            <w:r>
              <w:t>Seiten- oder Spaltenwechsel sind nicht durch Leerzeilen, sondern mit dem Seiten- bzw. Spaltenumbruch erstellt.</w:t>
            </w:r>
          </w:p>
        </w:tc>
        <w:tc>
          <w:tcPr>
            <w:tcW w:w="2976" w:type="dxa"/>
            <w:noWrap/>
          </w:tcPr>
          <w:p w14:paraId="0EB1927E"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6F53A3CF" w14:textId="77777777">
        <w:trPr>
          <w:cantSplit/>
          <w:trHeight w:val="269"/>
        </w:trPr>
        <w:tc>
          <w:tcPr>
            <w:tcW w:w="988" w:type="dxa"/>
            <w:noWrap/>
          </w:tcPr>
          <w:p w14:paraId="35DD6C2E" w14:textId="77777777" w:rsidR="00526D37" w:rsidRDefault="00000000">
            <w:pPr>
              <w:spacing w:after="120" w:line="288" w:lineRule="auto"/>
            </w:pPr>
            <w:r>
              <w:t>3.8</w:t>
            </w:r>
          </w:p>
        </w:tc>
        <w:tc>
          <w:tcPr>
            <w:tcW w:w="1559" w:type="dxa"/>
            <w:noWrap/>
          </w:tcPr>
          <w:p w14:paraId="0A8C0259" w14:textId="77777777" w:rsidR="00526D37" w:rsidRDefault="00000000">
            <w:pPr>
              <w:spacing w:after="120" w:line="288" w:lineRule="auto"/>
            </w:pPr>
            <w:r>
              <w:t xml:space="preserve">Text </w:t>
            </w:r>
            <w:r>
              <w:br/>
              <w:t>(Spalten)</w:t>
            </w:r>
          </w:p>
        </w:tc>
        <w:tc>
          <w:tcPr>
            <w:tcW w:w="4111" w:type="dxa"/>
            <w:noWrap/>
          </w:tcPr>
          <w:p w14:paraId="3842B772" w14:textId="77777777" w:rsidR="00526D37" w:rsidRDefault="00000000">
            <w:pPr>
              <w:spacing w:after="120" w:line="288" w:lineRule="auto"/>
            </w:pPr>
            <w:r>
              <w:t>Spalten sind nicht mit Tabulatoren, sondern über das Menü „Layout“ erstellt.</w:t>
            </w:r>
          </w:p>
          <w:p w14:paraId="72846335" w14:textId="77777777" w:rsidR="00526D37" w:rsidRDefault="00000000">
            <w:pPr>
              <w:spacing w:after="120" w:line="288" w:lineRule="auto"/>
            </w:pPr>
            <w:r>
              <w:t>Der Zwischenraum zwischen den Spalten ist groß genug, um sich visuell voneinander abzusetzen.</w:t>
            </w:r>
          </w:p>
        </w:tc>
        <w:tc>
          <w:tcPr>
            <w:tcW w:w="2976" w:type="dxa"/>
            <w:noWrap/>
          </w:tcPr>
          <w:p w14:paraId="5BDEDD71" w14:textId="77777777" w:rsidR="00526D37" w:rsidRDefault="00000000">
            <w:pPr>
              <w:spacing w:after="120" w:line="288" w:lineRule="auto"/>
              <w:ind w:right="31"/>
              <w:rPr>
                <w:rStyle w:val="docdata"/>
                <w:rFonts w:ascii="Calibri" w:hAnsi="Calibri" w:cs="Calibri"/>
                <w:color w:val="000000"/>
              </w:rPr>
            </w:pPr>
            <w:r>
              <w:rPr>
                <w:rStyle w:val="docdata"/>
                <w:rFonts w:ascii="Calibri" w:hAnsi="Calibri" w:cs="Calibri"/>
                <w:color w:val="000000"/>
              </w:rPr>
              <w:t>... eine Sprachausgabe oder einen Screenreader nutzen.</w:t>
            </w:r>
          </w:p>
          <w:p w14:paraId="0FE21531" w14:textId="77777777" w:rsidR="00526D37" w:rsidRDefault="00000000">
            <w:pPr>
              <w:spacing w:after="120" w:line="288" w:lineRule="auto"/>
              <w:ind w:right="31"/>
            </w:pPr>
            <w:r>
              <w:t>… Schwierigkeiten haben, den Text zu erkennen/lesen.</w:t>
            </w:r>
            <w:bookmarkEnd w:id="0"/>
          </w:p>
        </w:tc>
      </w:tr>
      <w:tr w:rsidR="00526D37" w14:paraId="7C07C866" w14:textId="77777777">
        <w:trPr>
          <w:cantSplit/>
          <w:trHeight w:val="269"/>
        </w:trPr>
        <w:tc>
          <w:tcPr>
            <w:tcW w:w="988" w:type="dxa"/>
            <w:noWrap/>
          </w:tcPr>
          <w:p w14:paraId="76C02013" w14:textId="77777777" w:rsidR="00526D37" w:rsidRDefault="00000000">
            <w:pPr>
              <w:spacing w:after="120" w:line="288" w:lineRule="auto"/>
            </w:pPr>
            <w:r>
              <w:t>3.9</w:t>
            </w:r>
          </w:p>
        </w:tc>
        <w:tc>
          <w:tcPr>
            <w:tcW w:w="1559" w:type="dxa"/>
            <w:noWrap/>
          </w:tcPr>
          <w:p w14:paraId="439B7E0D" w14:textId="77777777" w:rsidR="00526D37" w:rsidRDefault="00000000">
            <w:pPr>
              <w:spacing w:after="120" w:line="288" w:lineRule="auto"/>
            </w:pPr>
            <w:r>
              <w:t xml:space="preserve">Text </w:t>
            </w:r>
            <w:r>
              <w:br/>
              <w:t>(Liste, Aufzählung)</w:t>
            </w:r>
          </w:p>
        </w:tc>
        <w:tc>
          <w:tcPr>
            <w:tcW w:w="4111" w:type="dxa"/>
            <w:noWrap/>
          </w:tcPr>
          <w:p w14:paraId="3F3F8A05" w14:textId="77777777" w:rsidR="00526D37" w:rsidRDefault="00000000">
            <w:pPr>
              <w:spacing w:after="120" w:line="288" w:lineRule="auto"/>
            </w:pPr>
            <w:r>
              <w:t>Es sind nur Inhalte als Liste/ Aufzählung ausgegeben, die auch wirklich eine Liste/ Aufzählung darstellen. Diese sind mit Listen- bzw. Aufzählungsformaten erstellt.</w:t>
            </w:r>
          </w:p>
        </w:tc>
        <w:tc>
          <w:tcPr>
            <w:tcW w:w="2976" w:type="dxa"/>
            <w:noWrap/>
          </w:tcPr>
          <w:p w14:paraId="039EBEBB"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36E83CC1" w14:textId="77777777">
        <w:trPr>
          <w:cantSplit/>
          <w:trHeight w:val="269"/>
        </w:trPr>
        <w:tc>
          <w:tcPr>
            <w:tcW w:w="988" w:type="dxa"/>
            <w:noWrap/>
          </w:tcPr>
          <w:p w14:paraId="519FE14C" w14:textId="77777777" w:rsidR="00526D37" w:rsidRDefault="00000000">
            <w:pPr>
              <w:spacing w:after="120" w:line="288" w:lineRule="auto"/>
            </w:pPr>
            <w:r>
              <w:t>3.10</w:t>
            </w:r>
          </w:p>
        </w:tc>
        <w:tc>
          <w:tcPr>
            <w:tcW w:w="1559" w:type="dxa"/>
            <w:noWrap/>
          </w:tcPr>
          <w:p w14:paraId="7D92FE57" w14:textId="77777777" w:rsidR="00526D37" w:rsidRDefault="00000000">
            <w:pPr>
              <w:spacing w:after="120" w:line="288" w:lineRule="auto"/>
            </w:pPr>
            <w:r>
              <w:t xml:space="preserve">Text </w:t>
            </w:r>
            <w:r>
              <w:br/>
              <w:t>(Farbe)</w:t>
            </w:r>
          </w:p>
        </w:tc>
        <w:tc>
          <w:tcPr>
            <w:tcW w:w="4111" w:type="dxa"/>
            <w:noWrap/>
          </w:tcPr>
          <w:p w14:paraId="0B3458BA" w14:textId="77777777" w:rsidR="00526D37" w:rsidRDefault="00000000">
            <w:pPr>
              <w:spacing w:after="120" w:line="288" w:lineRule="auto"/>
            </w:pPr>
            <w:r>
              <w:t>Texte haben ein ausreichendes Kontrastverhältnis zum Hintergrund von mindestens 4.5:1.</w:t>
            </w:r>
          </w:p>
        </w:tc>
        <w:tc>
          <w:tcPr>
            <w:tcW w:w="2976" w:type="dxa"/>
            <w:noWrap/>
          </w:tcPr>
          <w:p w14:paraId="723C9AA1" w14:textId="77777777" w:rsidR="00526D37" w:rsidRDefault="00000000">
            <w:pPr>
              <w:spacing w:after="120" w:line="288" w:lineRule="auto"/>
            </w:pPr>
            <w:r>
              <w:t xml:space="preserve">… nicht alle Farben eindeutig wahrnehmen. </w:t>
            </w:r>
          </w:p>
          <w:p w14:paraId="1A050222" w14:textId="77777777" w:rsidR="00526D37" w:rsidRDefault="00000000">
            <w:pPr>
              <w:spacing w:after="120" w:line="288" w:lineRule="auto"/>
            </w:pPr>
            <w:r>
              <w:t>… nicht gut sehen können.</w:t>
            </w:r>
          </w:p>
          <w:p w14:paraId="4D2F9EB4" w14:textId="77777777" w:rsidR="00526D37" w:rsidRDefault="00000000">
            <w:pPr>
              <w:spacing w:after="120" w:line="288" w:lineRule="auto"/>
            </w:pPr>
            <w:r>
              <w:t xml:space="preserve">… das Dokument bei schlechten Lichtverhältnissen (bzw. über den </w:t>
            </w:r>
            <w:proofErr w:type="spellStart"/>
            <w:r>
              <w:t>Beamer</w:t>
            </w:r>
            <w:proofErr w:type="spellEnd"/>
            <w:r>
              <w:t>) lesen.</w:t>
            </w:r>
          </w:p>
        </w:tc>
      </w:tr>
      <w:tr w:rsidR="00526D37" w14:paraId="605323D5" w14:textId="77777777">
        <w:trPr>
          <w:cantSplit/>
          <w:trHeight w:val="269"/>
        </w:trPr>
        <w:tc>
          <w:tcPr>
            <w:tcW w:w="988" w:type="dxa"/>
            <w:noWrap/>
          </w:tcPr>
          <w:p w14:paraId="066F7808" w14:textId="77777777" w:rsidR="00526D37" w:rsidRDefault="00000000">
            <w:pPr>
              <w:spacing w:after="120" w:line="288" w:lineRule="auto"/>
            </w:pPr>
            <w:r>
              <w:t>4.1</w:t>
            </w:r>
          </w:p>
        </w:tc>
        <w:tc>
          <w:tcPr>
            <w:tcW w:w="1559" w:type="dxa"/>
            <w:noWrap/>
          </w:tcPr>
          <w:p w14:paraId="7D5C7C0E" w14:textId="77777777" w:rsidR="00526D37" w:rsidRDefault="00000000">
            <w:pPr>
              <w:spacing w:after="120" w:line="288" w:lineRule="auto"/>
              <w:rPr>
                <w:highlight w:val="green"/>
              </w:rPr>
            </w:pPr>
            <w:r>
              <w:t>Link</w:t>
            </w:r>
          </w:p>
        </w:tc>
        <w:tc>
          <w:tcPr>
            <w:tcW w:w="4111" w:type="dxa"/>
            <w:noWrap/>
          </w:tcPr>
          <w:p w14:paraId="60102B48" w14:textId="77777777" w:rsidR="00526D37" w:rsidRDefault="00000000">
            <w:pPr>
              <w:spacing w:after="120" w:line="288" w:lineRule="auto"/>
            </w:pPr>
            <w:r>
              <w:t>URL tritt im Fließtext nicht als Klartext auf. Stattdessen sind Hyperlinks eingefügt, eindeutig benannt und leicht verständlich.</w:t>
            </w:r>
          </w:p>
        </w:tc>
        <w:tc>
          <w:tcPr>
            <w:tcW w:w="2976" w:type="dxa"/>
            <w:noWrap/>
          </w:tcPr>
          <w:p w14:paraId="67594F48" w14:textId="5A9430E1" w:rsidR="00526D37" w:rsidRDefault="00000000">
            <w:pPr>
              <w:spacing w:after="120" w:line="288" w:lineRule="auto"/>
            </w:pPr>
            <w:r>
              <w:t>… sich leicht im Lesefluss unterbrechen lassen.</w:t>
            </w:r>
          </w:p>
          <w:p w14:paraId="68436D19" w14:textId="77777777" w:rsidR="00526D37" w:rsidRDefault="00000000">
            <w:pPr>
              <w:spacing w:after="120" w:line="288" w:lineRule="auto"/>
            </w:pPr>
            <w:r>
              <w:t>... sich schnell zurechtfinden wollen.</w:t>
            </w:r>
          </w:p>
          <w:p w14:paraId="7DBD4027"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0B181190" w14:textId="77777777">
        <w:trPr>
          <w:cantSplit/>
          <w:trHeight w:val="269"/>
        </w:trPr>
        <w:tc>
          <w:tcPr>
            <w:tcW w:w="988" w:type="dxa"/>
            <w:noWrap/>
          </w:tcPr>
          <w:p w14:paraId="70929265" w14:textId="77777777" w:rsidR="00526D37" w:rsidRDefault="00000000">
            <w:pPr>
              <w:spacing w:after="120" w:line="288" w:lineRule="auto"/>
            </w:pPr>
            <w:r>
              <w:t>4.2</w:t>
            </w:r>
          </w:p>
        </w:tc>
        <w:tc>
          <w:tcPr>
            <w:tcW w:w="1559" w:type="dxa"/>
            <w:noWrap/>
          </w:tcPr>
          <w:p w14:paraId="42071BBC" w14:textId="77777777" w:rsidR="00526D37" w:rsidRDefault="00000000">
            <w:pPr>
              <w:spacing w:after="120" w:line="288" w:lineRule="auto"/>
              <w:rPr>
                <w:highlight w:val="green"/>
              </w:rPr>
            </w:pPr>
            <w:r>
              <w:rPr>
                <w:rFonts w:ascii="Calibri" w:hAnsi="Calibri" w:cs="Calibri"/>
                <w:color w:val="000000"/>
              </w:rPr>
              <w:t>Link</w:t>
            </w:r>
          </w:p>
        </w:tc>
        <w:tc>
          <w:tcPr>
            <w:tcW w:w="4111" w:type="dxa"/>
            <w:noWrap/>
          </w:tcPr>
          <w:p w14:paraId="25BFDCA1" w14:textId="77777777" w:rsidR="00526D37" w:rsidRDefault="00000000">
            <w:pPr>
              <w:spacing w:after="120" w:line="288" w:lineRule="auto"/>
            </w:pPr>
            <w:r>
              <w:rPr>
                <w:rFonts w:ascii="Calibri" w:hAnsi="Calibri" w:cs="Calibri"/>
                <w:color w:val="000000"/>
              </w:rPr>
              <w:t>Wenn ein Link ein anderes Programm öffnet (z.B. Browser, E-Mail-Programm), wird im Linktext darauf hingewiesen. Beispiel: „Kontaktadresse“ (öffnet E-Mail-Programm)“.</w:t>
            </w:r>
          </w:p>
        </w:tc>
        <w:tc>
          <w:tcPr>
            <w:tcW w:w="2976" w:type="dxa"/>
            <w:noWrap/>
          </w:tcPr>
          <w:p w14:paraId="4C7FE474" w14:textId="77777777" w:rsidR="00526D37" w:rsidRDefault="00000000">
            <w:pPr>
              <w:pStyle w:val="StandardWeb"/>
              <w:spacing w:before="0" w:beforeAutospacing="0" w:after="120" w:afterAutospacing="0" w:line="288" w:lineRule="auto"/>
              <w:ind w:right="31"/>
            </w:pPr>
            <w:r>
              <w:rPr>
                <w:rFonts w:ascii="Calibri" w:hAnsi="Calibri" w:cs="Calibri"/>
                <w:color w:val="000000"/>
                <w:sz w:val="22"/>
                <w:szCs w:val="22"/>
              </w:rPr>
              <w:t>… eine Sprachausgabe nutzen.</w:t>
            </w:r>
          </w:p>
          <w:p w14:paraId="616C196B" w14:textId="022404E1" w:rsidR="00526D37" w:rsidRDefault="00000000">
            <w:pPr>
              <w:spacing w:after="120" w:line="288" w:lineRule="auto"/>
            </w:pPr>
            <w:r>
              <w:rPr>
                <w:rFonts w:ascii="Calibri" w:hAnsi="Calibri" w:cs="Calibri"/>
                <w:color w:val="000000"/>
              </w:rPr>
              <w:t>… sich leicht im Lesefluss unterbrechen lassen.</w:t>
            </w:r>
          </w:p>
        </w:tc>
      </w:tr>
      <w:tr w:rsidR="00526D37" w14:paraId="61FA1B38" w14:textId="77777777">
        <w:trPr>
          <w:cantSplit/>
        </w:trPr>
        <w:tc>
          <w:tcPr>
            <w:tcW w:w="988" w:type="dxa"/>
            <w:noWrap/>
          </w:tcPr>
          <w:p w14:paraId="3566862C" w14:textId="77777777" w:rsidR="00526D37" w:rsidRDefault="00000000">
            <w:pPr>
              <w:spacing w:after="120" w:line="288" w:lineRule="auto"/>
            </w:pPr>
            <w:r>
              <w:lastRenderedPageBreak/>
              <w:t>5.1</w:t>
            </w:r>
          </w:p>
        </w:tc>
        <w:tc>
          <w:tcPr>
            <w:tcW w:w="1559" w:type="dxa"/>
            <w:noWrap/>
          </w:tcPr>
          <w:p w14:paraId="39361D0D" w14:textId="77777777" w:rsidR="00526D37" w:rsidRDefault="00000000">
            <w:pPr>
              <w:spacing w:after="120" w:line="288" w:lineRule="auto"/>
            </w:pPr>
            <w:r>
              <w:t>Überschrift</w:t>
            </w:r>
          </w:p>
        </w:tc>
        <w:tc>
          <w:tcPr>
            <w:tcW w:w="4111" w:type="dxa"/>
            <w:noWrap/>
          </w:tcPr>
          <w:p w14:paraId="6C05581B" w14:textId="77777777" w:rsidR="00526D37" w:rsidRDefault="00000000">
            <w:pPr>
              <w:spacing w:after="120" w:line="288" w:lineRule="auto"/>
            </w:pPr>
            <w:r>
              <w:t>Überschriften sind mithilfe von Formatvorlagen erstellt.</w:t>
            </w:r>
          </w:p>
        </w:tc>
        <w:tc>
          <w:tcPr>
            <w:tcW w:w="2976" w:type="dxa"/>
            <w:noWrap/>
          </w:tcPr>
          <w:p w14:paraId="24120297"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2BDC999B" w14:textId="77777777">
        <w:trPr>
          <w:cantSplit/>
        </w:trPr>
        <w:tc>
          <w:tcPr>
            <w:tcW w:w="988" w:type="dxa"/>
            <w:noWrap/>
          </w:tcPr>
          <w:p w14:paraId="52F30E4E" w14:textId="77777777" w:rsidR="00526D37" w:rsidRDefault="00000000">
            <w:pPr>
              <w:spacing w:after="120" w:line="288" w:lineRule="auto"/>
            </w:pPr>
            <w:r>
              <w:t>5.2</w:t>
            </w:r>
          </w:p>
        </w:tc>
        <w:tc>
          <w:tcPr>
            <w:tcW w:w="1559" w:type="dxa"/>
            <w:noWrap/>
          </w:tcPr>
          <w:p w14:paraId="5178B3CE" w14:textId="77777777" w:rsidR="00526D37" w:rsidRDefault="00000000">
            <w:pPr>
              <w:spacing w:after="120" w:line="288" w:lineRule="auto"/>
            </w:pPr>
            <w:r>
              <w:t>Überschrift</w:t>
            </w:r>
          </w:p>
        </w:tc>
        <w:tc>
          <w:tcPr>
            <w:tcW w:w="4111" w:type="dxa"/>
            <w:noWrap/>
          </w:tcPr>
          <w:p w14:paraId="1E96CE23" w14:textId="77777777" w:rsidR="00526D37" w:rsidRDefault="00000000">
            <w:pPr>
              <w:spacing w:after="120" w:line="288" w:lineRule="auto"/>
            </w:pPr>
            <w:r>
              <w:t>Die erste Überschrift hat die Formatvorlage „Titel“ oder „Überschrift 1“.</w:t>
            </w:r>
          </w:p>
        </w:tc>
        <w:tc>
          <w:tcPr>
            <w:tcW w:w="2976" w:type="dxa"/>
            <w:noWrap/>
          </w:tcPr>
          <w:p w14:paraId="1A6EE890"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03C5A7C3" w14:textId="77777777">
        <w:trPr>
          <w:cantSplit/>
        </w:trPr>
        <w:tc>
          <w:tcPr>
            <w:tcW w:w="988" w:type="dxa"/>
            <w:noWrap/>
          </w:tcPr>
          <w:p w14:paraId="48FD991D" w14:textId="77777777" w:rsidR="00526D37" w:rsidRDefault="00000000">
            <w:pPr>
              <w:spacing w:after="120" w:line="288" w:lineRule="auto"/>
            </w:pPr>
            <w:r>
              <w:t>5.3</w:t>
            </w:r>
          </w:p>
        </w:tc>
        <w:tc>
          <w:tcPr>
            <w:tcW w:w="1559" w:type="dxa"/>
            <w:noWrap/>
          </w:tcPr>
          <w:p w14:paraId="43E7C427" w14:textId="77777777" w:rsidR="00526D37" w:rsidRDefault="00000000">
            <w:pPr>
              <w:spacing w:after="120" w:line="288" w:lineRule="auto"/>
            </w:pPr>
            <w:r>
              <w:t>Überschrift</w:t>
            </w:r>
          </w:p>
        </w:tc>
        <w:tc>
          <w:tcPr>
            <w:tcW w:w="4111" w:type="dxa"/>
            <w:noWrap/>
          </w:tcPr>
          <w:p w14:paraId="2D5CE51C" w14:textId="77777777" w:rsidR="00526D37" w:rsidRDefault="00000000">
            <w:pPr>
              <w:spacing w:after="120" w:line="288" w:lineRule="auto"/>
            </w:pPr>
            <w:r>
              <w:t>Es gibt keine Überschriften unterhalb der Ebene 6.</w:t>
            </w:r>
          </w:p>
        </w:tc>
        <w:tc>
          <w:tcPr>
            <w:tcW w:w="2976" w:type="dxa"/>
            <w:noWrap/>
          </w:tcPr>
          <w:p w14:paraId="5FCE2DF3"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0BCD8E7F" w14:textId="77777777">
        <w:trPr>
          <w:cantSplit/>
        </w:trPr>
        <w:tc>
          <w:tcPr>
            <w:tcW w:w="988" w:type="dxa"/>
            <w:noWrap/>
          </w:tcPr>
          <w:p w14:paraId="50C18735" w14:textId="77777777" w:rsidR="00526D37" w:rsidRDefault="00000000">
            <w:pPr>
              <w:spacing w:after="120" w:line="288" w:lineRule="auto"/>
            </w:pPr>
            <w:r>
              <w:t>5.4</w:t>
            </w:r>
          </w:p>
        </w:tc>
        <w:tc>
          <w:tcPr>
            <w:tcW w:w="1559" w:type="dxa"/>
            <w:noWrap/>
          </w:tcPr>
          <w:p w14:paraId="2B6CCBE7" w14:textId="77777777" w:rsidR="00526D37" w:rsidRDefault="00000000">
            <w:pPr>
              <w:spacing w:after="120" w:line="288" w:lineRule="auto"/>
            </w:pPr>
            <w:r>
              <w:t>Überschrift</w:t>
            </w:r>
          </w:p>
        </w:tc>
        <w:tc>
          <w:tcPr>
            <w:tcW w:w="4111" w:type="dxa"/>
            <w:noWrap/>
          </w:tcPr>
          <w:p w14:paraId="07D739FC" w14:textId="77777777" w:rsidR="00526D37" w:rsidRDefault="00000000">
            <w:pPr>
              <w:spacing w:after="120" w:line="288" w:lineRule="auto"/>
            </w:pPr>
            <w:r>
              <w:t>Wenn es Unterüberschriften gibt, gibt es jede Ebene, ohne dass eine Ebene übersprungen wird.</w:t>
            </w:r>
          </w:p>
        </w:tc>
        <w:tc>
          <w:tcPr>
            <w:tcW w:w="2976" w:type="dxa"/>
            <w:noWrap/>
          </w:tcPr>
          <w:p w14:paraId="66D81C96" w14:textId="77777777" w:rsidR="00526D37" w:rsidRDefault="00000000">
            <w:pPr>
              <w:spacing w:after="120" w:line="288" w:lineRule="auto"/>
            </w:pPr>
            <w:r>
              <w:rPr>
                <w:rStyle w:val="docdata"/>
                <w:rFonts w:ascii="Calibri" w:hAnsi="Calibri" w:cs="Calibri"/>
                <w:color w:val="000000"/>
              </w:rPr>
              <w:t>... eine Sprachausgabe oder einen Screenreader nutzen</w:t>
            </w:r>
            <w:r>
              <w:t>.</w:t>
            </w:r>
          </w:p>
        </w:tc>
      </w:tr>
      <w:tr w:rsidR="00526D37" w14:paraId="771F9503" w14:textId="77777777">
        <w:trPr>
          <w:cantSplit/>
        </w:trPr>
        <w:tc>
          <w:tcPr>
            <w:tcW w:w="988" w:type="dxa"/>
            <w:noWrap/>
          </w:tcPr>
          <w:p w14:paraId="67E0561B" w14:textId="77777777" w:rsidR="00526D37" w:rsidRDefault="00000000">
            <w:pPr>
              <w:spacing w:after="120" w:line="288" w:lineRule="auto"/>
            </w:pPr>
            <w:r>
              <w:t>5.5</w:t>
            </w:r>
          </w:p>
        </w:tc>
        <w:tc>
          <w:tcPr>
            <w:tcW w:w="1559" w:type="dxa"/>
            <w:noWrap/>
          </w:tcPr>
          <w:p w14:paraId="24543DF3" w14:textId="77777777" w:rsidR="00526D37" w:rsidRDefault="00000000">
            <w:pPr>
              <w:spacing w:after="120" w:line="288" w:lineRule="auto"/>
            </w:pPr>
            <w:r>
              <w:t>Überschrift</w:t>
            </w:r>
          </w:p>
        </w:tc>
        <w:tc>
          <w:tcPr>
            <w:tcW w:w="4111" w:type="dxa"/>
            <w:noWrap/>
          </w:tcPr>
          <w:p w14:paraId="4ED95B95" w14:textId="77777777" w:rsidR="00526D37" w:rsidRDefault="00000000">
            <w:pPr>
              <w:spacing w:after="120" w:line="288" w:lineRule="auto"/>
            </w:pPr>
            <w:r>
              <w:t xml:space="preserve">Die Bezeichnung der Überschrift erfolgt ausschließlich mit arabischen Zahlen („1“), nicht mit römischen Zahlen („I“). </w:t>
            </w:r>
          </w:p>
        </w:tc>
        <w:tc>
          <w:tcPr>
            <w:tcW w:w="2976" w:type="dxa"/>
            <w:noWrap/>
          </w:tcPr>
          <w:p w14:paraId="039B47D6"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2F2C2A45" w14:textId="77777777">
        <w:trPr>
          <w:cantSplit/>
        </w:trPr>
        <w:tc>
          <w:tcPr>
            <w:tcW w:w="988" w:type="dxa"/>
            <w:noWrap/>
          </w:tcPr>
          <w:p w14:paraId="11A47DBE" w14:textId="77777777" w:rsidR="00526D37" w:rsidRDefault="00000000">
            <w:pPr>
              <w:spacing w:after="120" w:line="288" w:lineRule="auto"/>
              <w:rPr>
                <w:bCs/>
              </w:rPr>
            </w:pPr>
            <w:r>
              <w:rPr>
                <w:bCs/>
              </w:rPr>
              <w:t>5.6</w:t>
            </w:r>
          </w:p>
        </w:tc>
        <w:tc>
          <w:tcPr>
            <w:tcW w:w="1559" w:type="dxa"/>
            <w:noWrap/>
          </w:tcPr>
          <w:p w14:paraId="6E7899FE" w14:textId="77777777" w:rsidR="00526D37" w:rsidRDefault="00000000">
            <w:pPr>
              <w:spacing w:after="120" w:line="288" w:lineRule="auto"/>
            </w:pPr>
            <w:r>
              <w:t>Überschrift</w:t>
            </w:r>
          </w:p>
        </w:tc>
        <w:tc>
          <w:tcPr>
            <w:tcW w:w="4111" w:type="dxa"/>
            <w:noWrap/>
          </w:tcPr>
          <w:p w14:paraId="23B8996A" w14:textId="77777777" w:rsidR="00526D37" w:rsidRDefault="00000000">
            <w:pPr>
              <w:spacing w:after="120" w:line="288" w:lineRule="auto"/>
            </w:pPr>
            <w:r>
              <w:t xml:space="preserve">Überschriften, Abbildungs- und Tabellenbeschriftungen treten nur einmal auf, sind aussagekräftig und leicht verständlich. </w:t>
            </w:r>
          </w:p>
        </w:tc>
        <w:tc>
          <w:tcPr>
            <w:tcW w:w="2976" w:type="dxa"/>
            <w:noWrap/>
          </w:tcPr>
          <w:p w14:paraId="7BE23FF6"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31BCB302" w14:textId="77777777" w:rsidR="00526D37" w:rsidRDefault="00000000">
            <w:pPr>
              <w:spacing w:after="120" w:line="288" w:lineRule="auto"/>
            </w:pPr>
            <w:r>
              <w:t>… Strukturen benötigen/wünschen.</w:t>
            </w:r>
          </w:p>
        </w:tc>
      </w:tr>
      <w:tr w:rsidR="00526D37" w14:paraId="3CED449C" w14:textId="77777777">
        <w:trPr>
          <w:cantSplit/>
        </w:trPr>
        <w:tc>
          <w:tcPr>
            <w:tcW w:w="988" w:type="dxa"/>
            <w:noWrap/>
          </w:tcPr>
          <w:p w14:paraId="4C5E6B0A" w14:textId="77777777" w:rsidR="00526D37" w:rsidRDefault="00000000">
            <w:pPr>
              <w:spacing w:after="120" w:line="288" w:lineRule="auto"/>
              <w:rPr>
                <w:bCs/>
              </w:rPr>
            </w:pPr>
            <w:r>
              <w:rPr>
                <w:bCs/>
              </w:rPr>
              <w:t>6.1</w:t>
            </w:r>
          </w:p>
        </w:tc>
        <w:tc>
          <w:tcPr>
            <w:tcW w:w="1559" w:type="dxa"/>
            <w:noWrap/>
          </w:tcPr>
          <w:p w14:paraId="5D3D2D88" w14:textId="77777777" w:rsidR="00526D37" w:rsidRDefault="00000000">
            <w:pPr>
              <w:spacing w:after="120" w:line="288" w:lineRule="auto"/>
            </w:pPr>
            <w:r>
              <w:t>Grafik /</w:t>
            </w:r>
            <w:r>
              <w:br/>
              <w:t>Textfeld</w:t>
            </w:r>
          </w:p>
        </w:tc>
        <w:tc>
          <w:tcPr>
            <w:tcW w:w="4111" w:type="dxa"/>
            <w:noWrap/>
          </w:tcPr>
          <w:p w14:paraId="0F089E84" w14:textId="77777777" w:rsidR="00526D37" w:rsidRDefault="00000000">
            <w:pPr>
              <w:spacing w:after="120" w:line="288" w:lineRule="auto"/>
            </w:pPr>
            <w:r>
              <w:t>Eingesetzte Grafiken und Textfelder sind an entsprechender Stelle verankert.</w:t>
            </w:r>
          </w:p>
        </w:tc>
        <w:tc>
          <w:tcPr>
            <w:tcW w:w="2976" w:type="dxa"/>
            <w:noWrap/>
          </w:tcPr>
          <w:p w14:paraId="58B5D4D7" w14:textId="77777777" w:rsidR="00526D37" w:rsidRDefault="00000000">
            <w:pPr>
              <w:spacing w:after="120" w:line="288" w:lineRule="auto"/>
              <w:ind w:right="31"/>
              <w:rPr>
                <w:rStyle w:val="docdata"/>
                <w:rFonts w:ascii="Calibri" w:hAnsi="Calibri" w:cs="Calibri"/>
                <w:color w:val="000000"/>
              </w:rPr>
            </w:pPr>
            <w:r>
              <w:rPr>
                <w:rStyle w:val="docdata"/>
                <w:rFonts w:ascii="Calibri" w:hAnsi="Calibri" w:cs="Calibri"/>
                <w:color w:val="000000"/>
              </w:rPr>
              <w:t>... eine Sprachausgabe oder einen Screenreader nutzen.</w:t>
            </w:r>
          </w:p>
          <w:p w14:paraId="52B3205C" w14:textId="77777777" w:rsidR="00526D37" w:rsidRDefault="00000000">
            <w:pPr>
              <w:spacing w:after="120" w:line="288" w:lineRule="auto"/>
              <w:rPr>
                <w:rStyle w:val="docdata"/>
                <w:rFonts w:ascii="Calibri" w:hAnsi="Calibri" w:cs="Calibri"/>
                <w:color w:val="000000"/>
              </w:rPr>
            </w:pPr>
            <w:r>
              <w:t>… im Dokument nur per Tastatur navigieren.</w:t>
            </w:r>
          </w:p>
        </w:tc>
      </w:tr>
      <w:tr w:rsidR="00526D37" w14:paraId="42698C3D" w14:textId="77777777">
        <w:trPr>
          <w:cantSplit/>
        </w:trPr>
        <w:tc>
          <w:tcPr>
            <w:tcW w:w="988" w:type="dxa"/>
            <w:noWrap/>
          </w:tcPr>
          <w:p w14:paraId="756DF0AE" w14:textId="77777777" w:rsidR="00526D37" w:rsidRDefault="00000000">
            <w:pPr>
              <w:spacing w:after="120" w:line="288" w:lineRule="auto"/>
              <w:rPr>
                <w:bCs/>
              </w:rPr>
            </w:pPr>
            <w:bookmarkStart w:id="4" w:name="_Hlk111211270"/>
            <w:r>
              <w:rPr>
                <w:bCs/>
              </w:rPr>
              <w:t>6.2</w:t>
            </w:r>
          </w:p>
        </w:tc>
        <w:tc>
          <w:tcPr>
            <w:tcW w:w="1559" w:type="dxa"/>
            <w:noWrap/>
          </w:tcPr>
          <w:p w14:paraId="15B74584" w14:textId="77777777" w:rsidR="00526D37" w:rsidRDefault="00000000">
            <w:pPr>
              <w:spacing w:after="120" w:line="288" w:lineRule="auto"/>
            </w:pPr>
            <w:r>
              <w:t>Grafik</w:t>
            </w:r>
          </w:p>
        </w:tc>
        <w:tc>
          <w:tcPr>
            <w:tcW w:w="4111" w:type="dxa"/>
            <w:noWrap/>
          </w:tcPr>
          <w:p w14:paraId="32F287A2" w14:textId="77777777" w:rsidR="00526D37" w:rsidRDefault="00000000">
            <w:pPr>
              <w:spacing w:after="120" w:line="288" w:lineRule="auto"/>
            </w:pPr>
            <w:r>
              <w:t>Grafiken enthalten einen kurzen, prägnanten Alternativtext. Grafiken ohne inhaltliche Bedeutung sind als dekorativ markiert.</w:t>
            </w:r>
          </w:p>
        </w:tc>
        <w:tc>
          <w:tcPr>
            <w:tcW w:w="2976" w:type="dxa"/>
            <w:noWrap/>
          </w:tcPr>
          <w:p w14:paraId="1D4A31E9"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2C19526A" w14:textId="77777777">
        <w:trPr>
          <w:cantSplit/>
          <w:trHeight w:val="403"/>
        </w:trPr>
        <w:tc>
          <w:tcPr>
            <w:tcW w:w="988" w:type="dxa"/>
            <w:noWrap/>
          </w:tcPr>
          <w:p w14:paraId="6635DCC5" w14:textId="77777777" w:rsidR="00526D37" w:rsidRDefault="00000000">
            <w:pPr>
              <w:spacing w:after="120" w:line="288" w:lineRule="auto"/>
              <w:rPr>
                <w:bCs/>
              </w:rPr>
            </w:pPr>
            <w:r>
              <w:rPr>
                <w:bCs/>
              </w:rPr>
              <w:t>6.3</w:t>
            </w:r>
          </w:p>
        </w:tc>
        <w:tc>
          <w:tcPr>
            <w:tcW w:w="1559" w:type="dxa"/>
            <w:noWrap/>
          </w:tcPr>
          <w:p w14:paraId="3B635EE3" w14:textId="77777777" w:rsidR="00526D37" w:rsidRDefault="00000000">
            <w:pPr>
              <w:spacing w:after="120" w:line="288" w:lineRule="auto"/>
            </w:pPr>
            <w:r>
              <w:t>Grafik</w:t>
            </w:r>
          </w:p>
        </w:tc>
        <w:tc>
          <w:tcPr>
            <w:tcW w:w="4111" w:type="dxa"/>
            <w:noWrap/>
          </w:tcPr>
          <w:p w14:paraId="6E3C04D3" w14:textId="77777777" w:rsidR="00526D37" w:rsidRDefault="00000000">
            <w:pPr>
              <w:spacing w:after="120" w:line="288" w:lineRule="auto"/>
            </w:pPr>
            <w:r>
              <w:rPr>
                <w:rFonts w:ascii="Calibri" w:eastAsia="Calibri" w:hAnsi="Calibri" w:cs="Calibri"/>
                <w:color w:val="000000"/>
              </w:rPr>
              <w:t xml:space="preserve">Komplexe Bilder (z.B. Comics, </w:t>
            </w:r>
            <w:proofErr w:type="spellStart"/>
            <w:r>
              <w:rPr>
                <w:rFonts w:ascii="Calibri" w:eastAsia="Calibri" w:hAnsi="Calibri" w:cs="Calibri"/>
                <w:color w:val="000000"/>
              </w:rPr>
              <w:t>SmartArts</w:t>
            </w:r>
            <w:proofErr w:type="spellEnd"/>
            <w:r>
              <w:rPr>
                <w:rFonts w:ascii="Calibri" w:eastAsia="Calibri" w:hAnsi="Calibri" w:cs="Calibri"/>
                <w:color w:val="000000"/>
              </w:rPr>
              <w:t xml:space="preserve">, Diagramme) haben eine ausführlich beschreibende Textalternative. </w:t>
            </w:r>
          </w:p>
        </w:tc>
        <w:tc>
          <w:tcPr>
            <w:tcW w:w="2976" w:type="dxa"/>
            <w:noWrap/>
          </w:tcPr>
          <w:p w14:paraId="0F92151B"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7240696C" w14:textId="77777777" w:rsidR="00526D37" w:rsidRDefault="00000000">
            <w:pPr>
              <w:spacing w:after="120" w:line="288" w:lineRule="auto"/>
            </w:pPr>
            <w:r>
              <w:rPr>
                <w:rFonts w:ascii="Calibri" w:eastAsia="Calibri" w:hAnsi="Calibri" w:cs="Calibri"/>
                <w:color w:val="000000"/>
              </w:rPr>
              <w:t xml:space="preserve">… nicht gut sehen können. </w:t>
            </w:r>
          </w:p>
        </w:tc>
      </w:tr>
      <w:tr w:rsidR="00526D37" w14:paraId="6260E20F" w14:textId="77777777">
        <w:trPr>
          <w:cantSplit/>
        </w:trPr>
        <w:tc>
          <w:tcPr>
            <w:tcW w:w="988" w:type="dxa"/>
            <w:noWrap/>
          </w:tcPr>
          <w:p w14:paraId="627B81D9" w14:textId="77777777" w:rsidR="00526D37" w:rsidRDefault="00000000">
            <w:pPr>
              <w:spacing w:after="120" w:line="288" w:lineRule="auto"/>
              <w:rPr>
                <w:bCs/>
              </w:rPr>
            </w:pPr>
            <w:r>
              <w:rPr>
                <w:bCs/>
              </w:rPr>
              <w:lastRenderedPageBreak/>
              <w:t>6.4</w:t>
            </w:r>
          </w:p>
        </w:tc>
        <w:tc>
          <w:tcPr>
            <w:tcW w:w="1559" w:type="dxa"/>
            <w:noWrap/>
          </w:tcPr>
          <w:p w14:paraId="37315DC4" w14:textId="77777777" w:rsidR="00526D37" w:rsidRDefault="00000000">
            <w:pPr>
              <w:spacing w:after="120" w:line="288" w:lineRule="auto"/>
            </w:pPr>
            <w:r>
              <w:t>Grafik</w:t>
            </w:r>
          </w:p>
        </w:tc>
        <w:tc>
          <w:tcPr>
            <w:tcW w:w="4111" w:type="dxa"/>
            <w:noWrap/>
          </w:tcPr>
          <w:p w14:paraId="7BE6EC4F" w14:textId="77777777" w:rsidR="00526D37" w:rsidRDefault="00000000">
            <w:pPr>
              <w:spacing w:after="120" w:line="288" w:lineRule="auto"/>
            </w:pPr>
            <w:r>
              <w:t>Es werden keine Bilder und kein WordArt eingesetzt, um Texte darzustellen („Schriftgrafiken“).</w:t>
            </w:r>
          </w:p>
          <w:p w14:paraId="6504972C" w14:textId="77777777" w:rsidR="00526D37" w:rsidRDefault="00000000">
            <w:pPr>
              <w:spacing w:after="120" w:line="288" w:lineRule="auto"/>
            </w:pPr>
            <w:r>
              <w:rPr>
                <w:rFonts w:ascii="Calibri" w:hAnsi="Calibri" w:cs="Calibri"/>
                <w:color w:val="000000"/>
              </w:rPr>
              <w:t>Ausnahme: Essenzielle Schriftgrafiken haben einen sinnvollen Alternativtext. Redundante Schriftgrafiken sind als dekorativ gekennzeichnet.</w:t>
            </w:r>
          </w:p>
        </w:tc>
        <w:tc>
          <w:tcPr>
            <w:tcW w:w="2976" w:type="dxa"/>
            <w:noWrap/>
          </w:tcPr>
          <w:p w14:paraId="7C285237"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31E70304" w14:textId="77777777" w:rsidR="00526D37" w:rsidRDefault="00000000">
            <w:pPr>
              <w:spacing w:after="120" w:line="288" w:lineRule="auto"/>
            </w:pPr>
            <w:r>
              <w:t>… sich Bilder vergrößern.</w:t>
            </w:r>
          </w:p>
          <w:p w14:paraId="066B6DD3" w14:textId="77777777" w:rsidR="00526D37" w:rsidRDefault="00000000">
            <w:pPr>
              <w:spacing w:after="120" w:line="288" w:lineRule="auto"/>
            </w:pPr>
            <w:r>
              <w:t>… die Farbe des Vorder- und/ oder Hintergrunds ändern wollen.</w:t>
            </w:r>
          </w:p>
        </w:tc>
      </w:tr>
      <w:tr w:rsidR="00526D37" w14:paraId="3389EA6B" w14:textId="77777777">
        <w:trPr>
          <w:cantSplit/>
        </w:trPr>
        <w:tc>
          <w:tcPr>
            <w:tcW w:w="988" w:type="dxa"/>
            <w:noWrap/>
          </w:tcPr>
          <w:p w14:paraId="39CD524F" w14:textId="77777777" w:rsidR="00526D37" w:rsidRDefault="00000000">
            <w:pPr>
              <w:spacing w:after="120" w:line="288" w:lineRule="auto"/>
              <w:rPr>
                <w:bCs/>
              </w:rPr>
            </w:pPr>
            <w:r>
              <w:rPr>
                <w:bCs/>
              </w:rPr>
              <w:t>6.5</w:t>
            </w:r>
          </w:p>
        </w:tc>
        <w:tc>
          <w:tcPr>
            <w:tcW w:w="1559" w:type="dxa"/>
            <w:noWrap/>
          </w:tcPr>
          <w:p w14:paraId="14DB7A04" w14:textId="77777777" w:rsidR="00526D37" w:rsidRDefault="00000000">
            <w:pPr>
              <w:spacing w:after="120" w:line="288" w:lineRule="auto"/>
            </w:pPr>
            <w:r>
              <w:t>Grafik</w:t>
            </w:r>
          </w:p>
        </w:tc>
        <w:tc>
          <w:tcPr>
            <w:tcW w:w="4111" w:type="dxa"/>
            <w:noWrap/>
          </w:tcPr>
          <w:p w14:paraId="42E4B2B6" w14:textId="77777777" w:rsidR="00526D37" w:rsidRDefault="00000000">
            <w:pPr>
              <w:spacing w:after="120" w:line="288" w:lineRule="auto"/>
            </w:pPr>
            <w:r>
              <w:t>Grafische Informationstragende Elemente (z.B. Linien, benachbarte Flächen) haben einen Mindestkontrast von 3:1 zum Hintergrund.</w:t>
            </w:r>
          </w:p>
        </w:tc>
        <w:tc>
          <w:tcPr>
            <w:tcW w:w="2976" w:type="dxa"/>
            <w:noWrap/>
          </w:tcPr>
          <w:p w14:paraId="5AA8BFFD" w14:textId="77777777" w:rsidR="00526D37" w:rsidRDefault="00000000">
            <w:pPr>
              <w:pStyle w:val="docy"/>
              <w:spacing w:before="0" w:beforeAutospacing="0" w:after="120" w:afterAutospacing="0" w:line="288" w:lineRule="auto"/>
            </w:pPr>
            <w:r>
              <w:rPr>
                <w:rFonts w:ascii="Calibri" w:hAnsi="Calibri" w:cs="Calibri"/>
                <w:color w:val="000000"/>
                <w:sz w:val="22"/>
                <w:szCs w:val="22"/>
              </w:rPr>
              <w:t xml:space="preserve">… nicht alle Farben eindeutig wahrnehmen. </w:t>
            </w:r>
          </w:p>
          <w:p w14:paraId="16DA3EE1" w14:textId="77777777" w:rsidR="00526D37" w:rsidRDefault="00000000">
            <w:pPr>
              <w:pStyle w:val="StandardWeb"/>
              <w:spacing w:before="0" w:beforeAutospacing="0" w:after="120" w:afterAutospacing="0" w:line="288" w:lineRule="auto"/>
            </w:pPr>
            <w:r>
              <w:rPr>
                <w:rFonts w:ascii="Calibri" w:hAnsi="Calibri" w:cs="Calibri"/>
                <w:color w:val="000000"/>
                <w:sz w:val="22"/>
                <w:szCs w:val="22"/>
              </w:rPr>
              <w:t>… nicht gut sehen.</w:t>
            </w:r>
          </w:p>
          <w:p w14:paraId="4DAAFBC7" w14:textId="77777777" w:rsidR="00526D37" w:rsidRDefault="00000000">
            <w:pPr>
              <w:spacing w:after="120" w:line="288" w:lineRule="auto"/>
            </w:pPr>
            <w:r>
              <w:rPr>
                <w:rFonts w:ascii="Calibri" w:hAnsi="Calibri" w:cs="Calibri"/>
                <w:color w:val="000000"/>
              </w:rPr>
              <w:t xml:space="preserve">… das Dokument bei schlechten Lichtverhältnissen (bzw. über </w:t>
            </w:r>
            <w:proofErr w:type="spellStart"/>
            <w:r>
              <w:rPr>
                <w:rFonts w:ascii="Calibri" w:hAnsi="Calibri" w:cs="Calibri"/>
                <w:color w:val="000000"/>
              </w:rPr>
              <w:t>Beamer</w:t>
            </w:r>
            <w:proofErr w:type="spellEnd"/>
            <w:r>
              <w:rPr>
                <w:rFonts w:ascii="Calibri" w:hAnsi="Calibri" w:cs="Calibri"/>
                <w:color w:val="000000"/>
              </w:rPr>
              <w:t>) lesen.</w:t>
            </w:r>
          </w:p>
        </w:tc>
      </w:tr>
      <w:tr w:rsidR="00526D37" w14:paraId="3B882E13" w14:textId="77777777">
        <w:trPr>
          <w:cantSplit/>
          <w:trHeight w:val="403"/>
        </w:trPr>
        <w:tc>
          <w:tcPr>
            <w:tcW w:w="988" w:type="dxa"/>
            <w:noWrap/>
          </w:tcPr>
          <w:p w14:paraId="4CF2DEA4" w14:textId="77777777" w:rsidR="00526D37" w:rsidRDefault="00000000">
            <w:pPr>
              <w:spacing w:after="120" w:line="288" w:lineRule="auto"/>
              <w:rPr>
                <w:bCs/>
              </w:rPr>
            </w:pPr>
            <w:r>
              <w:rPr>
                <w:bCs/>
              </w:rPr>
              <w:t>6.6</w:t>
            </w:r>
          </w:p>
        </w:tc>
        <w:tc>
          <w:tcPr>
            <w:tcW w:w="1559" w:type="dxa"/>
            <w:noWrap/>
          </w:tcPr>
          <w:p w14:paraId="1C541644" w14:textId="77777777" w:rsidR="00526D37" w:rsidRDefault="00000000">
            <w:pPr>
              <w:spacing w:after="120" w:line="288" w:lineRule="auto"/>
            </w:pPr>
            <w:r>
              <w:t>Grafik</w:t>
            </w:r>
          </w:p>
        </w:tc>
        <w:tc>
          <w:tcPr>
            <w:tcW w:w="4111" w:type="dxa"/>
            <w:noWrap/>
          </w:tcPr>
          <w:p w14:paraId="60E6FCA0" w14:textId="77777777" w:rsidR="00526D37"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rPr>
            </w:pPr>
            <w:r>
              <w:rPr>
                <w:rFonts w:ascii="Calibri" w:eastAsia="Calibri" w:hAnsi="Calibri" w:cs="Calibri"/>
                <w:color w:val="000000"/>
              </w:rPr>
              <w:t>Es werden keine animierten Grafiken (GIFs) verwendet.</w:t>
            </w:r>
          </w:p>
        </w:tc>
        <w:tc>
          <w:tcPr>
            <w:tcW w:w="2976" w:type="dxa"/>
            <w:noWrap/>
          </w:tcPr>
          <w:p w14:paraId="187682BC" w14:textId="77777777" w:rsidR="00526D37" w:rsidRDefault="00000000">
            <w:pPr>
              <w:spacing w:after="120" w:line="288" w:lineRule="auto"/>
              <w:rPr>
                <w:rFonts w:ascii="Calibri" w:eastAsia="Calibri" w:hAnsi="Calibri" w:cs="Calibri"/>
                <w:color w:val="000000"/>
              </w:rPr>
            </w:pPr>
            <w:r>
              <w:rPr>
                <w:rFonts w:ascii="Calibri" w:eastAsia="Calibri" w:hAnsi="Calibri" w:cs="Calibri"/>
                <w:color w:val="000000"/>
              </w:rPr>
              <w:t>... auf Lichtreize empfindlich reagieren.</w:t>
            </w:r>
          </w:p>
          <w:p w14:paraId="15821C66" w14:textId="77777777" w:rsidR="00526D37" w:rsidRDefault="00000000">
            <w:pPr>
              <w:spacing w:after="120" w:line="288" w:lineRule="auto"/>
              <w:rPr>
                <w:rFonts w:ascii="Calibri" w:eastAsia="Calibri" w:hAnsi="Calibri" w:cs="Calibri"/>
                <w:color w:val="000000"/>
              </w:rPr>
            </w:pPr>
            <w:r>
              <w:rPr>
                <w:rFonts w:ascii="Calibri" w:eastAsia="Calibri" w:hAnsi="Calibri" w:cs="Calibri"/>
                <w:color w:val="000000"/>
              </w:rPr>
              <w:t>... sich leicht ablenken lassen.</w:t>
            </w:r>
          </w:p>
        </w:tc>
      </w:tr>
      <w:tr w:rsidR="00526D37" w14:paraId="68731BE0" w14:textId="77777777">
        <w:trPr>
          <w:cantSplit/>
        </w:trPr>
        <w:tc>
          <w:tcPr>
            <w:tcW w:w="988" w:type="dxa"/>
            <w:noWrap/>
          </w:tcPr>
          <w:p w14:paraId="725C7181" w14:textId="77777777" w:rsidR="00526D37" w:rsidRDefault="00000000">
            <w:pPr>
              <w:spacing w:after="120" w:line="288" w:lineRule="auto"/>
            </w:pPr>
            <w:r>
              <w:t>7.1</w:t>
            </w:r>
          </w:p>
        </w:tc>
        <w:tc>
          <w:tcPr>
            <w:tcW w:w="1559" w:type="dxa"/>
            <w:noWrap/>
          </w:tcPr>
          <w:p w14:paraId="5F7B6390" w14:textId="77777777" w:rsidR="00526D37" w:rsidRDefault="00000000">
            <w:pPr>
              <w:spacing w:after="120" w:line="288" w:lineRule="auto"/>
            </w:pPr>
            <w:r>
              <w:t>Tabelle</w:t>
            </w:r>
          </w:p>
        </w:tc>
        <w:tc>
          <w:tcPr>
            <w:tcW w:w="4111" w:type="dxa"/>
            <w:noWrap/>
          </w:tcPr>
          <w:p w14:paraId="1BA77557" w14:textId="77777777" w:rsidR="00526D37" w:rsidRDefault="00000000">
            <w:pPr>
              <w:spacing w:after="120" w:line="288" w:lineRule="auto"/>
            </w:pPr>
            <w:r>
              <w:t xml:space="preserve">Tabellen sind über „Tabelle einfügen“ erzeugt. </w:t>
            </w:r>
          </w:p>
        </w:tc>
        <w:tc>
          <w:tcPr>
            <w:tcW w:w="2976" w:type="dxa"/>
            <w:noWrap/>
          </w:tcPr>
          <w:p w14:paraId="024D3EE9" w14:textId="77777777" w:rsidR="00526D37" w:rsidRDefault="00000000">
            <w:pPr>
              <w:spacing w:after="120" w:line="288" w:lineRule="auto"/>
            </w:pPr>
            <w:r>
              <w:rPr>
                <w:rStyle w:val="docdata"/>
                <w:rFonts w:ascii="Calibri" w:hAnsi="Calibri" w:cs="Calibri"/>
                <w:color w:val="000000"/>
              </w:rPr>
              <w:t>... eine Sprachausgabe oder einen Screenreader nutzen.</w:t>
            </w:r>
          </w:p>
        </w:tc>
      </w:tr>
      <w:tr w:rsidR="00526D37" w14:paraId="36AD55A7" w14:textId="77777777">
        <w:trPr>
          <w:cantSplit/>
        </w:trPr>
        <w:tc>
          <w:tcPr>
            <w:tcW w:w="988" w:type="dxa"/>
            <w:noWrap/>
          </w:tcPr>
          <w:p w14:paraId="2301592A" w14:textId="77777777" w:rsidR="00526D37" w:rsidRDefault="00000000">
            <w:pPr>
              <w:spacing w:after="120" w:line="288" w:lineRule="auto"/>
            </w:pPr>
            <w:r>
              <w:t>7.2</w:t>
            </w:r>
          </w:p>
        </w:tc>
        <w:tc>
          <w:tcPr>
            <w:tcW w:w="1559" w:type="dxa"/>
            <w:noWrap/>
          </w:tcPr>
          <w:p w14:paraId="05C6633F" w14:textId="77777777" w:rsidR="00526D37" w:rsidRDefault="00000000">
            <w:pPr>
              <w:spacing w:after="120" w:line="288" w:lineRule="auto"/>
            </w:pPr>
            <w:r>
              <w:t>Tabelle</w:t>
            </w:r>
          </w:p>
        </w:tc>
        <w:tc>
          <w:tcPr>
            <w:tcW w:w="4111" w:type="dxa"/>
            <w:noWrap/>
          </w:tcPr>
          <w:p w14:paraId="26DA2A33" w14:textId="77777777" w:rsidR="00526D37" w:rsidRDefault="00000000">
            <w:pPr>
              <w:spacing w:after="120" w:line="288" w:lineRule="auto"/>
            </w:pPr>
            <w:r>
              <w:t>Alle Spaltenüberschriften (erste Zeile) sind als „Kopfzeile“ markiert, alle Zeilenüberschriften (wenn vorhanden) als "Erste Spalte".</w:t>
            </w:r>
          </w:p>
          <w:p w14:paraId="1A91B6DA" w14:textId="77777777" w:rsidR="00526D37" w:rsidRDefault="00000000">
            <w:pPr>
              <w:spacing w:after="120" w:line="288" w:lineRule="auto"/>
            </w:pPr>
            <w:r>
              <w:t>Die Kopfzeile wiederholt sich auf jeder Seite.</w:t>
            </w:r>
          </w:p>
        </w:tc>
        <w:tc>
          <w:tcPr>
            <w:tcW w:w="2976" w:type="dxa"/>
            <w:noWrap/>
          </w:tcPr>
          <w:p w14:paraId="6320983E"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747D7490" w14:textId="77777777" w:rsidR="00526D37" w:rsidRDefault="00000000">
            <w:pPr>
              <w:spacing w:after="120" w:line="288" w:lineRule="auto"/>
            </w:pPr>
            <w:r>
              <w:t>… Strukturen benötigen/ wünschen.</w:t>
            </w:r>
          </w:p>
          <w:p w14:paraId="0BEDA3B0" w14:textId="77777777" w:rsidR="00526D37" w:rsidRDefault="00000000">
            <w:pPr>
              <w:spacing w:after="120" w:line="288" w:lineRule="auto"/>
            </w:pPr>
            <w:r>
              <w:t>… es schwer haben, sich zu konzentrieren.</w:t>
            </w:r>
          </w:p>
        </w:tc>
      </w:tr>
      <w:tr w:rsidR="00526D37" w14:paraId="0E7003C5" w14:textId="77777777">
        <w:trPr>
          <w:cantSplit/>
        </w:trPr>
        <w:tc>
          <w:tcPr>
            <w:tcW w:w="988" w:type="dxa"/>
            <w:noWrap/>
          </w:tcPr>
          <w:p w14:paraId="32BBC2C8" w14:textId="77777777" w:rsidR="00526D37" w:rsidRDefault="00000000">
            <w:pPr>
              <w:spacing w:after="120" w:line="288" w:lineRule="auto"/>
            </w:pPr>
            <w:r>
              <w:t>7.3</w:t>
            </w:r>
          </w:p>
        </w:tc>
        <w:tc>
          <w:tcPr>
            <w:tcW w:w="1559" w:type="dxa"/>
            <w:noWrap/>
          </w:tcPr>
          <w:p w14:paraId="682C47B3" w14:textId="77777777" w:rsidR="00526D37" w:rsidRDefault="00000000">
            <w:pPr>
              <w:spacing w:after="120" w:line="288" w:lineRule="auto"/>
            </w:pPr>
            <w:r>
              <w:t>Tabelle</w:t>
            </w:r>
          </w:p>
        </w:tc>
        <w:tc>
          <w:tcPr>
            <w:tcW w:w="4111" w:type="dxa"/>
            <w:noWrap/>
          </w:tcPr>
          <w:p w14:paraId="05C77E17" w14:textId="77777777" w:rsidR="00526D37" w:rsidRDefault="00000000">
            <w:pPr>
              <w:spacing w:after="120" w:line="288" w:lineRule="auto"/>
              <w:rPr>
                <w:highlight w:val="yellow"/>
              </w:rPr>
            </w:pPr>
            <w:r>
              <w:t>Bei Tabellen, die über mehr als eine Seite gehen, sind Seitenumbrüche in Tabellenzeilen unterbunden.</w:t>
            </w:r>
          </w:p>
        </w:tc>
        <w:tc>
          <w:tcPr>
            <w:tcW w:w="2976" w:type="dxa"/>
            <w:noWrap/>
          </w:tcPr>
          <w:p w14:paraId="513CE696"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2866E51B" w14:textId="77777777" w:rsidR="00526D37" w:rsidRDefault="00000000">
            <w:pPr>
              <w:spacing w:after="120" w:line="288" w:lineRule="auto"/>
            </w:pPr>
            <w:r>
              <w:t xml:space="preserve">… schnell die Orientierung verlieren. </w:t>
            </w:r>
          </w:p>
        </w:tc>
      </w:tr>
      <w:tr w:rsidR="00526D37" w14:paraId="11BBC009" w14:textId="77777777">
        <w:trPr>
          <w:cantSplit/>
        </w:trPr>
        <w:tc>
          <w:tcPr>
            <w:tcW w:w="988" w:type="dxa"/>
            <w:noWrap/>
          </w:tcPr>
          <w:p w14:paraId="7A4D5090" w14:textId="77777777" w:rsidR="00526D37" w:rsidRDefault="00000000">
            <w:pPr>
              <w:spacing w:after="120" w:line="288" w:lineRule="auto"/>
            </w:pPr>
            <w:r>
              <w:t>7.4</w:t>
            </w:r>
          </w:p>
        </w:tc>
        <w:tc>
          <w:tcPr>
            <w:tcW w:w="1559" w:type="dxa"/>
            <w:noWrap/>
          </w:tcPr>
          <w:p w14:paraId="0318A6C4" w14:textId="77777777" w:rsidR="00526D37" w:rsidRDefault="00000000">
            <w:pPr>
              <w:spacing w:after="120" w:line="288" w:lineRule="auto"/>
            </w:pPr>
            <w:r>
              <w:t>Tabelle</w:t>
            </w:r>
          </w:p>
        </w:tc>
        <w:tc>
          <w:tcPr>
            <w:tcW w:w="4111" w:type="dxa"/>
            <w:noWrap/>
          </w:tcPr>
          <w:p w14:paraId="63C269D1" w14:textId="77777777" w:rsidR="00526D37" w:rsidRDefault="00000000">
            <w:pPr>
              <w:spacing w:after="120" w:line="288" w:lineRule="auto"/>
            </w:pPr>
            <w:r>
              <w:t>Zellen sind nicht miteinander verbunden.</w:t>
            </w:r>
          </w:p>
        </w:tc>
        <w:tc>
          <w:tcPr>
            <w:tcW w:w="2976" w:type="dxa"/>
            <w:noWrap/>
          </w:tcPr>
          <w:p w14:paraId="3462751C"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40337928" w14:textId="77777777" w:rsidR="00526D37" w:rsidRDefault="00000000">
            <w:pPr>
              <w:spacing w:after="120" w:line="288" w:lineRule="auto"/>
            </w:pPr>
            <w:r>
              <w:t>… die Tabelle vergrößert betrachten.</w:t>
            </w:r>
            <w:bookmarkEnd w:id="4"/>
          </w:p>
        </w:tc>
      </w:tr>
      <w:tr w:rsidR="00526D37" w14:paraId="78521AE2" w14:textId="77777777">
        <w:trPr>
          <w:cantSplit/>
        </w:trPr>
        <w:tc>
          <w:tcPr>
            <w:tcW w:w="988" w:type="dxa"/>
            <w:noWrap/>
          </w:tcPr>
          <w:p w14:paraId="6AC2DE34" w14:textId="77777777" w:rsidR="00526D37" w:rsidRDefault="00000000">
            <w:pPr>
              <w:spacing w:after="120" w:line="288" w:lineRule="auto"/>
            </w:pPr>
            <w:r>
              <w:lastRenderedPageBreak/>
              <w:t>7.5</w:t>
            </w:r>
          </w:p>
        </w:tc>
        <w:tc>
          <w:tcPr>
            <w:tcW w:w="1559" w:type="dxa"/>
            <w:noWrap/>
          </w:tcPr>
          <w:p w14:paraId="50D34EED" w14:textId="77777777" w:rsidR="00526D37" w:rsidRDefault="00000000">
            <w:pPr>
              <w:spacing w:after="120" w:line="288" w:lineRule="auto"/>
            </w:pPr>
            <w:r>
              <w:t>Tabelle</w:t>
            </w:r>
          </w:p>
        </w:tc>
        <w:tc>
          <w:tcPr>
            <w:tcW w:w="4111" w:type="dxa"/>
            <w:noWrap/>
          </w:tcPr>
          <w:p w14:paraId="5587B25D" w14:textId="77777777" w:rsidR="00526D37" w:rsidRDefault="00000000">
            <w:pPr>
              <w:spacing w:after="120" w:line="288" w:lineRule="auto"/>
            </w:pPr>
            <w:r>
              <w:t>Komplexe Tabellen sind in mehrere, einfache Tabellen aufgeteilt.</w:t>
            </w:r>
          </w:p>
        </w:tc>
        <w:tc>
          <w:tcPr>
            <w:tcW w:w="2976" w:type="dxa"/>
            <w:noWrap/>
          </w:tcPr>
          <w:p w14:paraId="51D27293" w14:textId="77777777" w:rsidR="00526D37" w:rsidRDefault="00000000">
            <w:pPr>
              <w:spacing w:after="120" w:line="288" w:lineRule="auto"/>
              <w:rPr>
                <w:rStyle w:val="docdata"/>
                <w:rFonts w:ascii="Calibri" w:hAnsi="Calibri" w:cs="Calibri"/>
                <w:color w:val="000000"/>
              </w:rPr>
            </w:pPr>
            <w:r>
              <w:rPr>
                <w:rStyle w:val="docdata"/>
                <w:rFonts w:ascii="Calibri" w:hAnsi="Calibri" w:cs="Calibri"/>
                <w:color w:val="000000"/>
              </w:rPr>
              <w:t>... eine Sprachausgabe oder einen Screenreader nutzen.</w:t>
            </w:r>
          </w:p>
          <w:p w14:paraId="1182549C" w14:textId="77777777" w:rsidR="00526D37" w:rsidRDefault="00000000">
            <w:pPr>
              <w:spacing w:after="120" w:line="288" w:lineRule="auto"/>
            </w:pPr>
            <w:r>
              <w:rPr>
                <w:rStyle w:val="docdata"/>
                <w:rFonts w:ascii="Calibri" w:hAnsi="Calibri" w:cs="Calibri"/>
                <w:color w:val="000000"/>
              </w:rPr>
              <w:t xml:space="preserve">… </w:t>
            </w:r>
            <w:r>
              <w:t xml:space="preserve">Strukturen benötigen/wünschen </w:t>
            </w:r>
          </w:p>
          <w:p w14:paraId="4FF4AB07" w14:textId="77777777" w:rsidR="00526D37" w:rsidRDefault="00000000">
            <w:pPr>
              <w:spacing w:after="120" w:line="288" w:lineRule="auto"/>
            </w:pPr>
            <w:r>
              <w:t>… sich schwertun, den Inhalt von komplexen Tabellen zu verstehen.</w:t>
            </w:r>
          </w:p>
        </w:tc>
      </w:tr>
    </w:tbl>
    <w:p w14:paraId="00DE4D29" w14:textId="77777777" w:rsidR="00526D37" w:rsidRDefault="00000000">
      <w:pPr>
        <w:pStyle w:val="berschrift1"/>
        <w:spacing w:after="120" w:line="288" w:lineRule="auto"/>
        <w:rPr>
          <w:color w:val="000000" w:themeColor="text1"/>
        </w:rPr>
      </w:pPr>
      <w:r>
        <w:rPr>
          <w:color w:val="000000" w:themeColor="text1"/>
        </w:rPr>
        <w:t xml:space="preserve">Quellen: </w:t>
      </w:r>
    </w:p>
    <w:p w14:paraId="6B42D783" w14:textId="73EEC7C4" w:rsidR="00526D37" w:rsidRDefault="00000000">
      <w:pPr>
        <w:spacing w:after="120" w:line="288" w:lineRule="auto"/>
        <w:rPr>
          <w:color w:val="0563C1" w:themeColor="hyperlink"/>
          <w:u w:val="single"/>
        </w:rPr>
      </w:pPr>
      <w:r>
        <w:t xml:space="preserve">Deutscher Blinden- und Sehbehindertenverband: </w:t>
      </w:r>
      <w:hyperlink r:id="rId12" w:tooltip="https://www.leserlich.info/" w:history="1">
        <w:r>
          <w:rPr>
            <w:rStyle w:val="Hyperlink"/>
          </w:rPr>
          <w:t>leserlich: Schritte zu einem inklusiven Kommunikationsdesign</w:t>
        </w:r>
      </w:hyperlink>
      <w:r w:rsidR="00166F8A">
        <w:rPr>
          <w:rStyle w:val="Hyperlink"/>
        </w:rPr>
        <w:t>.</w:t>
      </w:r>
      <w:r w:rsidR="00166F8A">
        <w:t xml:space="preserve"> Zuletzt abgerufen am 23.02.2024</w:t>
      </w:r>
    </w:p>
    <w:p w14:paraId="7E52B094" w14:textId="149728DC" w:rsidR="00526D37" w:rsidRDefault="00000000">
      <w:pPr>
        <w:pStyle w:val="docy"/>
        <w:spacing w:before="0" w:beforeAutospacing="0" w:after="120" w:afterAutospacing="0" w:line="288" w:lineRule="auto"/>
      </w:pPr>
      <w:r>
        <w:rPr>
          <w:rFonts w:ascii="Calibri" w:hAnsi="Calibri" w:cs="Calibri"/>
          <w:color w:val="000000"/>
          <w:sz w:val="22"/>
          <w:szCs w:val="22"/>
        </w:rPr>
        <w:t xml:space="preserve">Hochschulreferat Studium und Lehre. TH Köln (2018): </w:t>
      </w:r>
      <w:hyperlink r:id="rId13" w:tooltip="https://digitale-lehre.tu-dortmund.de/storages/digitale-lehre/r/Dokumente/leitfaden_barrierefreie_dokumente.pdf" w:history="1">
        <w:r>
          <w:rPr>
            <w:rStyle w:val="Hyperlink"/>
            <w:rFonts w:ascii="Calibri" w:eastAsia="Arial" w:hAnsi="Calibri" w:cs="Calibri"/>
            <w:color w:val="0563C1"/>
            <w:sz w:val="22"/>
            <w:szCs w:val="22"/>
          </w:rPr>
          <w:t>Leitfaden zur Erstellung barrierefreier Dokumente</w:t>
        </w:r>
      </w:hyperlink>
      <w:r>
        <w:rPr>
          <w:rStyle w:val="Hyperlink"/>
          <w:rFonts w:ascii="Calibri" w:eastAsia="Arial" w:hAnsi="Calibri" w:cs="Calibri"/>
          <w:color w:val="0563C1"/>
          <w:sz w:val="22"/>
          <w:szCs w:val="22"/>
        </w:rPr>
        <w:t xml:space="preserve"> (PDF)</w:t>
      </w:r>
      <w:r>
        <w:rPr>
          <w:rFonts w:ascii="Calibri" w:hAnsi="Calibri" w:cs="Calibri"/>
          <w:color w:val="000000"/>
          <w:sz w:val="22"/>
          <w:szCs w:val="22"/>
        </w:rPr>
        <w:t>.</w:t>
      </w:r>
      <w:r w:rsidR="00166F8A" w:rsidRPr="00166F8A">
        <w:t xml:space="preserve"> </w:t>
      </w:r>
      <w:r w:rsidR="00166F8A" w:rsidRPr="00166F8A">
        <w:rPr>
          <w:rFonts w:ascii="Calibri" w:hAnsi="Calibri" w:cs="Calibri"/>
          <w:color w:val="000000"/>
          <w:sz w:val="22"/>
          <w:szCs w:val="22"/>
        </w:rPr>
        <w:t>Zuletzt abgerufen am 23.02.2024</w:t>
      </w:r>
    </w:p>
    <w:p w14:paraId="454D0A09" w14:textId="72ADDCDF" w:rsidR="00526D37" w:rsidRDefault="00000000">
      <w:pPr>
        <w:spacing w:after="120" w:line="288" w:lineRule="auto"/>
      </w:pPr>
      <w:bookmarkStart w:id="5" w:name="_Hlk121819653"/>
      <w:r>
        <w:t xml:space="preserve">ZAB Universität Bielefeld: </w:t>
      </w:r>
      <w:hyperlink r:id="rId14" w:tooltip="https://www.uni-bielefeld.de/einrichtungen/zab/digitale-barrierefreiheit/barrierefreie-dokumente/anleitungen/word-2019/" w:history="1">
        <w:r>
          <w:rPr>
            <w:rStyle w:val="Hyperlink"/>
          </w:rPr>
          <w:t>Barrierefreie Dokumentenerstellung in Word 2019/ Word 365</w:t>
        </w:r>
        <w:bookmarkEnd w:id="5"/>
      </w:hyperlink>
      <w:r w:rsidR="00166F8A">
        <w:rPr>
          <w:rStyle w:val="Hyperlink"/>
        </w:rPr>
        <w:t>.</w:t>
      </w:r>
      <w:r w:rsidR="00166F8A">
        <w:t xml:space="preserve"> Zuletzt abgerufen am 23.02.2024</w:t>
      </w:r>
      <w:r>
        <w:t xml:space="preserve"> </w:t>
      </w:r>
      <w:bookmarkEnd w:id="1"/>
    </w:p>
    <w:sectPr w:rsidR="00526D37">
      <w:headerReference w:type="default" r:id="rId15"/>
      <w:footerReference w:type="even" r:id="rId16"/>
      <w:footerReference w:type="defaul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72A0" w14:textId="77777777" w:rsidR="007D591B" w:rsidRDefault="007D591B">
      <w:pPr>
        <w:spacing w:after="0" w:line="240" w:lineRule="auto"/>
      </w:pPr>
      <w:r>
        <w:separator/>
      </w:r>
    </w:p>
  </w:endnote>
  <w:endnote w:type="continuationSeparator" w:id="0">
    <w:p w14:paraId="722F8A4C" w14:textId="77777777" w:rsidR="007D591B" w:rsidRDefault="007D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08628"/>
      <w:docPartObj>
        <w:docPartGallery w:val="Page Numbers (Bottom of Page)"/>
        <w:docPartUnique/>
      </w:docPartObj>
    </w:sdtPr>
    <w:sdtContent>
      <w:p w14:paraId="3CD4CBA0" w14:textId="77777777" w:rsidR="00526D37"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A948268" w14:textId="77777777" w:rsidR="00526D37" w:rsidRDefault="00526D3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53221"/>
      <w:docPartObj>
        <w:docPartGallery w:val="Page Numbers (Bottom of Page)"/>
        <w:docPartUnique/>
      </w:docPartObj>
    </w:sdtPr>
    <w:sdtContent>
      <w:p w14:paraId="5B7BE1F8" w14:textId="77777777" w:rsidR="00526D37"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sdtContent>
  </w:sdt>
  <w:p w14:paraId="3A98D59D" w14:textId="77777777" w:rsidR="00526D37" w:rsidRDefault="00000000">
    <w:pPr>
      <w:pStyle w:val="Fuzeile"/>
      <w:spacing w:line="276" w:lineRule="auto"/>
      <w:ind w:right="360"/>
      <w:rPr>
        <w:sz w:val="18"/>
      </w:rPr>
    </w:pPr>
    <w:r>
      <w:rPr>
        <w:sz w:val="18"/>
      </w:rPr>
      <w:t xml:space="preserve">Checkliste: barrierefreies Word. Die Namen der Urheberinnen sollen bei einer Weiterverwendung wie folgt genannt </w:t>
    </w:r>
    <w:r w:rsidRPr="00166F8A">
      <w:rPr>
        <w:sz w:val="18"/>
      </w:rPr>
      <w:t xml:space="preserve">werden: </w:t>
    </w:r>
    <w:r w:rsidRPr="00402EBA">
      <w:rPr>
        <w:sz w:val="18"/>
      </w:rPr>
      <w:t>Jule Günter</w:t>
    </w:r>
    <w:r w:rsidRPr="00166F8A">
      <w:rPr>
        <w:sz w:val="18"/>
      </w:rPr>
      <w:t xml:space="preserve"> und </w:t>
    </w:r>
    <w:r w:rsidRPr="00402EBA">
      <w:rPr>
        <w:sz w:val="18"/>
      </w:rPr>
      <w:t>Christin Stormer</w:t>
    </w:r>
    <w:r>
      <w:rPr>
        <w:sz w:val="18"/>
      </w:rPr>
      <w:t xml:space="preserve"> für </w:t>
    </w:r>
    <w:hyperlink r:id="rId1" w:tooltip="http://www.shuffle-projekt.de" w:history="1">
      <w:r>
        <w:rPr>
          <w:rStyle w:val="Hyperlink"/>
          <w:sz w:val="18"/>
        </w:rPr>
        <w:t>SHUFFLE</w:t>
      </w:r>
    </w:hyperlink>
    <w:r>
      <w:rPr>
        <w:rStyle w:val="Hyperlink"/>
        <w:sz w:val="18"/>
      </w:rPr>
      <w:t xml:space="preserve"> – Hochschulinitiative digitale Barrierefreiheit für Alle</w:t>
    </w:r>
    <w:r>
      <w:rPr>
        <w:sz w:val="18"/>
      </w:rPr>
      <w:t xml:space="preserve"> steht unter der </w:t>
    </w:r>
    <w:hyperlink r:id="rId2" w:tooltip="https://creativecommons.org/licenses/by/4.0/" w:history="1">
      <w:r>
        <w:rPr>
          <w:rStyle w:val="Hyperlink"/>
          <w:sz w:val="18"/>
        </w:rPr>
        <w:t>CC BY 4.0-Lizenz</w:t>
      </w:r>
    </w:hyperlink>
    <w:r>
      <w:rP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90518"/>
      <w:docPartObj>
        <w:docPartGallery w:val="Page Numbers (Bottom of Page)"/>
        <w:docPartUnique/>
      </w:docPartObj>
    </w:sdtPr>
    <w:sdtContent>
      <w:p w14:paraId="1F6FA55A" w14:textId="77777777" w:rsidR="00526D37"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927303C" w14:textId="77777777" w:rsidR="00526D37" w:rsidRDefault="00526D3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F79C" w14:textId="77777777" w:rsidR="007D591B" w:rsidRDefault="007D591B">
      <w:pPr>
        <w:spacing w:after="0" w:line="240" w:lineRule="auto"/>
      </w:pPr>
      <w:r>
        <w:separator/>
      </w:r>
    </w:p>
  </w:footnote>
  <w:footnote w:type="continuationSeparator" w:id="0">
    <w:p w14:paraId="455C67D9" w14:textId="77777777" w:rsidR="007D591B" w:rsidRDefault="007D5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4E65" w14:textId="77777777" w:rsidR="00526D37" w:rsidRDefault="00000000">
    <w:pPr>
      <w:pStyle w:val="Kopfzeile"/>
      <w:jc w:val="right"/>
    </w:pPr>
    <w:r>
      <w:rPr>
        <w:noProof/>
      </w:rPr>
      <mc:AlternateContent>
        <mc:Choice Requires="wpg">
          <w:drawing>
            <wp:inline distT="0" distB="0" distL="0" distR="0" wp14:anchorId="640A3A37" wp14:editId="776830C9">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99pt;height:38.27pt;mso-wrap-distance-left:0.00pt;mso-wrap-distance-top:0.00pt;mso-wrap-distance-right:0.00pt;mso-wrap-distance-bottom:0.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F03"/>
    <w:multiLevelType w:val="hybridMultilevel"/>
    <w:tmpl w:val="E0246A56"/>
    <w:lvl w:ilvl="0" w:tplc="E47A9FA4">
      <w:start w:val="1"/>
      <w:numFmt w:val="bullet"/>
      <w:lvlText w:val=""/>
      <w:lvlJc w:val="left"/>
      <w:pPr>
        <w:ind w:left="720" w:hanging="360"/>
      </w:pPr>
      <w:rPr>
        <w:rFonts w:ascii="Symbol" w:hAnsi="Symbol" w:hint="default"/>
      </w:rPr>
    </w:lvl>
    <w:lvl w:ilvl="1" w:tplc="CCA09DB6">
      <w:start w:val="1"/>
      <w:numFmt w:val="bullet"/>
      <w:lvlText w:val="o"/>
      <w:lvlJc w:val="left"/>
      <w:pPr>
        <w:ind w:left="1440" w:hanging="360"/>
      </w:pPr>
      <w:rPr>
        <w:rFonts w:ascii="Courier New" w:hAnsi="Courier New" w:cs="Courier New" w:hint="default"/>
      </w:rPr>
    </w:lvl>
    <w:lvl w:ilvl="2" w:tplc="D28E0A32">
      <w:start w:val="1"/>
      <w:numFmt w:val="bullet"/>
      <w:lvlText w:val=""/>
      <w:lvlJc w:val="left"/>
      <w:pPr>
        <w:ind w:left="2160" w:hanging="360"/>
      </w:pPr>
      <w:rPr>
        <w:rFonts w:ascii="Wingdings" w:hAnsi="Wingdings" w:hint="default"/>
      </w:rPr>
    </w:lvl>
    <w:lvl w:ilvl="3" w:tplc="8EF6E7EE">
      <w:start w:val="1"/>
      <w:numFmt w:val="bullet"/>
      <w:lvlText w:val=""/>
      <w:lvlJc w:val="left"/>
      <w:pPr>
        <w:ind w:left="2880" w:hanging="360"/>
      </w:pPr>
      <w:rPr>
        <w:rFonts w:ascii="Symbol" w:hAnsi="Symbol" w:hint="default"/>
      </w:rPr>
    </w:lvl>
    <w:lvl w:ilvl="4" w:tplc="4AE24612">
      <w:start w:val="1"/>
      <w:numFmt w:val="bullet"/>
      <w:lvlText w:val="o"/>
      <w:lvlJc w:val="left"/>
      <w:pPr>
        <w:ind w:left="3600" w:hanging="360"/>
      </w:pPr>
      <w:rPr>
        <w:rFonts w:ascii="Courier New" w:hAnsi="Courier New" w:cs="Courier New" w:hint="default"/>
      </w:rPr>
    </w:lvl>
    <w:lvl w:ilvl="5" w:tplc="A4F26E00">
      <w:start w:val="1"/>
      <w:numFmt w:val="bullet"/>
      <w:lvlText w:val=""/>
      <w:lvlJc w:val="left"/>
      <w:pPr>
        <w:ind w:left="4320" w:hanging="360"/>
      </w:pPr>
      <w:rPr>
        <w:rFonts w:ascii="Wingdings" w:hAnsi="Wingdings" w:hint="default"/>
      </w:rPr>
    </w:lvl>
    <w:lvl w:ilvl="6" w:tplc="601457BC">
      <w:start w:val="1"/>
      <w:numFmt w:val="bullet"/>
      <w:lvlText w:val=""/>
      <w:lvlJc w:val="left"/>
      <w:pPr>
        <w:ind w:left="5040" w:hanging="360"/>
      </w:pPr>
      <w:rPr>
        <w:rFonts w:ascii="Symbol" w:hAnsi="Symbol" w:hint="default"/>
      </w:rPr>
    </w:lvl>
    <w:lvl w:ilvl="7" w:tplc="32F2E388">
      <w:start w:val="1"/>
      <w:numFmt w:val="bullet"/>
      <w:lvlText w:val="o"/>
      <w:lvlJc w:val="left"/>
      <w:pPr>
        <w:ind w:left="5760" w:hanging="360"/>
      </w:pPr>
      <w:rPr>
        <w:rFonts w:ascii="Courier New" w:hAnsi="Courier New" w:cs="Courier New" w:hint="default"/>
      </w:rPr>
    </w:lvl>
    <w:lvl w:ilvl="8" w:tplc="8842D140">
      <w:start w:val="1"/>
      <w:numFmt w:val="bullet"/>
      <w:lvlText w:val=""/>
      <w:lvlJc w:val="left"/>
      <w:pPr>
        <w:ind w:left="6480" w:hanging="360"/>
      </w:pPr>
      <w:rPr>
        <w:rFonts w:ascii="Wingdings" w:hAnsi="Wingdings" w:hint="default"/>
      </w:rPr>
    </w:lvl>
  </w:abstractNum>
  <w:abstractNum w:abstractNumId="1" w15:restartNumberingAfterBreak="0">
    <w:nsid w:val="0F1F5584"/>
    <w:multiLevelType w:val="hybridMultilevel"/>
    <w:tmpl w:val="D06C5898"/>
    <w:lvl w:ilvl="0" w:tplc="126C40DC">
      <w:start w:val="10"/>
      <w:numFmt w:val="bullet"/>
      <w:lvlText w:val="-"/>
      <w:lvlJc w:val="left"/>
      <w:pPr>
        <w:ind w:left="720" w:hanging="360"/>
      </w:pPr>
      <w:rPr>
        <w:rFonts w:ascii="Calibri" w:eastAsiaTheme="minorHAnsi" w:hAnsi="Calibri" w:cs="Calibri" w:hint="default"/>
      </w:rPr>
    </w:lvl>
    <w:lvl w:ilvl="1" w:tplc="9044ECFE">
      <w:start w:val="1"/>
      <w:numFmt w:val="bullet"/>
      <w:lvlText w:val="o"/>
      <w:lvlJc w:val="left"/>
      <w:pPr>
        <w:ind w:left="1440" w:hanging="360"/>
      </w:pPr>
      <w:rPr>
        <w:rFonts w:ascii="Courier New" w:hAnsi="Courier New" w:cs="Courier New" w:hint="default"/>
      </w:rPr>
    </w:lvl>
    <w:lvl w:ilvl="2" w:tplc="57409476">
      <w:start w:val="1"/>
      <w:numFmt w:val="bullet"/>
      <w:lvlText w:val=""/>
      <w:lvlJc w:val="left"/>
      <w:pPr>
        <w:ind w:left="2160" w:hanging="360"/>
      </w:pPr>
      <w:rPr>
        <w:rFonts w:ascii="Wingdings" w:hAnsi="Wingdings" w:hint="default"/>
      </w:rPr>
    </w:lvl>
    <w:lvl w:ilvl="3" w:tplc="EE9A12A8">
      <w:start w:val="1"/>
      <w:numFmt w:val="bullet"/>
      <w:lvlText w:val=""/>
      <w:lvlJc w:val="left"/>
      <w:pPr>
        <w:ind w:left="2880" w:hanging="360"/>
      </w:pPr>
      <w:rPr>
        <w:rFonts w:ascii="Symbol" w:hAnsi="Symbol" w:hint="default"/>
      </w:rPr>
    </w:lvl>
    <w:lvl w:ilvl="4" w:tplc="19E010CE">
      <w:start w:val="1"/>
      <w:numFmt w:val="bullet"/>
      <w:lvlText w:val="o"/>
      <w:lvlJc w:val="left"/>
      <w:pPr>
        <w:ind w:left="3600" w:hanging="360"/>
      </w:pPr>
      <w:rPr>
        <w:rFonts w:ascii="Courier New" w:hAnsi="Courier New" w:cs="Courier New" w:hint="default"/>
      </w:rPr>
    </w:lvl>
    <w:lvl w:ilvl="5" w:tplc="2ACACCD0">
      <w:start w:val="1"/>
      <w:numFmt w:val="bullet"/>
      <w:lvlText w:val=""/>
      <w:lvlJc w:val="left"/>
      <w:pPr>
        <w:ind w:left="4320" w:hanging="360"/>
      </w:pPr>
      <w:rPr>
        <w:rFonts w:ascii="Wingdings" w:hAnsi="Wingdings" w:hint="default"/>
      </w:rPr>
    </w:lvl>
    <w:lvl w:ilvl="6" w:tplc="D56ABBA8">
      <w:start w:val="1"/>
      <w:numFmt w:val="bullet"/>
      <w:lvlText w:val=""/>
      <w:lvlJc w:val="left"/>
      <w:pPr>
        <w:ind w:left="5040" w:hanging="360"/>
      </w:pPr>
      <w:rPr>
        <w:rFonts w:ascii="Symbol" w:hAnsi="Symbol" w:hint="default"/>
      </w:rPr>
    </w:lvl>
    <w:lvl w:ilvl="7" w:tplc="C506EDA2">
      <w:start w:val="1"/>
      <w:numFmt w:val="bullet"/>
      <w:lvlText w:val="o"/>
      <w:lvlJc w:val="left"/>
      <w:pPr>
        <w:ind w:left="5760" w:hanging="360"/>
      </w:pPr>
      <w:rPr>
        <w:rFonts w:ascii="Courier New" w:hAnsi="Courier New" w:cs="Courier New" w:hint="default"/>
      </w:rPr>
    </w:lvl>
    <w:lvl w:ilvl="8" w:tplc="F05230E4">
      <w:start w:val="1"/>
      <w:numFmt w:val="bullet"/>
      <w:lvlText w:val=""/>
      <w:lvlJc w:val="left"/>
      <w:pPr>
        <w:ind w:left="6480" w:hanging="360"/>
      </w:pPr>
      <w:rPr>
        <w:rFonts w:ascii="Wingdings" w:hAnsi="Wingdings" w:hint="default"/>
      </w:rPr>
    </w:lvl>
  </w:abstractNum>
  <w:abstractNum w:abstractNumId="2" w15:restartNumberingAfterBreak="0">
    <w:nsid w:val="20FC2BC7"/>
    <w:multiLevelType w:val="hybridMultilevel"/>
    <w:tmpl w:val="424CBF0C"/>
    <w:lvl w:ilvl="0" w:tplc="CDEED96C">
      <w:start w:val="2"/>
      <w:numFmt w:val="bullet"/>
      <w:lvlText w:val="-"/>
      <w:lvlJc w:val="left"/>
      <w:pPr>
        <w:ind w:left="720" w:hanging="360"/>
      </w:pPr>
      <w:rPr>
        <w:rFonts w:ascii="Calibri" w:eastAsiaTheme="minorHAnsi" w:hAnsi="Calibri" w:cs="Calibri" w:hint="default"/>
      </w:rPr>
    </w:lvl>
    <w:lvl w:ilvl="1" w:tplc="7BB664F8">
      <w:start w:val="1"/>
      <w:numFmt w:val="bullet"/>
      <w:lvlText w:val="o"/>
      <w:lvlJc w:val="left"/>
      <w:pPr>
        <w:ind w:left="1440" w:hanging="360"/>
      </w:pPr>
      <w:rPr>
        <w:rFonts w:ascii="Courier New" w:hAnsi="Courier New" w:cs="Courier New" w:hint="default"/>
      </w:rPr>
    </w:lvl>
    <w:lvl w:ilvl="2" w:tplc="058293B0">
      <w:start w:val="1"/>
      <w:numFmt w:val="bullet"/>
      <w:lvlText w:val=""/>
      <w:lvlJc w:val="left"/>
      <w:pPr>
        <w:ind w:left="2160" w:hanging="360"/>
      </w:pPr>
      <w:rPr>
        <w:rFonts w:ascii="Wingdings" w:hAnsi="Wingdings" w:hint="default"/>
      </w:rPr>
    </w:lvl>
    <w:lvl w:ilvl="3" w:tplc="31D2C92A">
      <w:start w:val="1"/>
      <w:numFmt w:val="bullet"/>
      <w:lvlText w:val=""/>
      <w:lvlJc w:val="left"/>
      <w:pPr>
        <w:ind w:left="2880" w:hanging="360"/>
      </w:pPr>
      <w:rPr>
        <w:rFonts w:ascii="Symbol" w:hAnsi="Symbol" w:hint="default"/>
      </w:rPr>
    </w:lvl>
    <w:lvl w:ilvl="4" w:tplc="F9B67FDE">
      <w:start w:val="1"/>
      <w:numFmt w:val="bullet"/>
      <w:lvlText w:val="o"/>
      <w:lvlJc w:val="left"/>
      <w:pPr>
        <w:ind w:left="3600" w:hanging="360"/>
      </w:pPr>
      <w:rPr>
        <w:rFonts w:ascii="Courier New" w:hAnsi="Courier New" w:cs="Courier New" w:hint="default"/>
      </w:rPr>
    </w:lvl>
    <w:lvl w:ilvl="5" w:tplc="040455E0">
      <w:start w:val="1"/>
      <w:numFmt w:val="bullet"/>
      <w:lvlText w:val=""/>
      <w:lvlJc w:val="left"/>
      <w:pPr>
        <w:ind w:left="4320" w:hanging="360"/>
      </w:pPr>
      <w:rPr>
        <w:rFonts w:ascii="Wingdings" w:hAnsi="Wingdings" w:hint="default"/>
      </w:rPr>
    </w:lvl>
    <w:lvl w:ilvl="6" w:tplc="EF342F1C">
      <w:start w:val="1"/>
      <w:numFmt w:val="bullet"/>
      <w:lvlText w:val=""/>
      <w:lvlJc w:val="left"/>
      <w:pPr>
        <w:ind w:left="5040" w:hanging="360"/>
      </w:pPr>
      <w:rPr>
        <w:rFonts w:ascii="Symbol" w:hAnsi="Symbol" w:hint="default"/>
      </w:rPr>
    </w:lvl>
    <w:lvl w:ilvl="7" w:tplc="C57A8ECE">
      <w:start w:val="1"/>
      <w:numFmt w:val="bullet"/>
      <w:lvlText w:val="o"/>
      <w:lvlJc w:val="left"/>
      <w:pPr>
        <w:ind w:left="5760" w:hanging="360"/>
      </w:pPr>
      <w:rPr>
        <w:rFonts w:ascii="Courier New" w:hAnsi="Courier New" w:cs="Courier New" w:hint="default"/>
      </w:rPr>
    </w:lvl>
    <w:lvl w:ilvl="8" w:tplc="E3FE11D0">
      <w:start w:val="1"/>
      <w:numFmt w:val="bullet"/>
      <w:lvlText w:val=""/>
      <w:lvlJc w:val="left"/>
      <w:pPr>
        <w:ind w:left="6480" w:hanging="360"/>
      </w:pPr>
      <w:rPr>
        <w:rFonts w:ascii="Wingdings" w:hAnsi="Wingdings" w:hint="default"/>
      </w:rPr>
    </w:lvl>
  </w:abstractNum>
  <w:abstractNum w:abstractNumId="3" w15:restartNumberingAfterBreak="0">
    <w:nsid w:val="30AC0010"/>
    <w:multiLevelType w:val="hybridMultilevel"/>
    <w:tmpl w:val="2298A75A"/>
    <w:lvl w:ilvl="0" w:tplc="9198DC90">
      <w:start w:val="1"/>
      <w:numFmt w:val="bullet"/>
      <w:lvlText w:val=""/>
      <w:lvlJc w:val="left"/>
      <w:pPr>
        <w:ind w:left="720" w:hanging="360"/>
      </w:pPr>
      <w:rPr>
        <w:rFonts w:ascii="Symbol" w:hAnsi="Symbol" w:hint="default"/>
      </w:rPr>
    </w:lvl>
    <w:lvl w:ilvl="1" w:tplc="0164B00E">
      <w:start w:val="1"/>
      <w:numFmt w:val="bullet"/>
      <w:lvlText w:val="o"/>
      <w:lvlJc w:val="left"/>
      <w:pPr>
        <w:ind w:left="1440" w:hanging="360"/>
      </w:pPr>
      <w:rPr>
        <w:rFonts w:ascii="Courier New" w:hAnsi="Courier New" w:cs="Courier New" w:hint="default"/>
      </w:rPr>
    </w:lvl>
    <w:lvl w:ilvl="2" w:tplc="8C10CE5E">
      <w:start w:val="1"/>
      <w:numFmt w:val="bullet"/>
      <w:lvlText w:val=""/>
      <w:lvlJc w:val="left"/>
      <w:pPr>
        <w:ind w:left="2160" w:hanging="360"/>
      </w:pPr>
      <w:rPr>
        <w:rFonts w:ascii="Wingdings" w:hAnsi="Wingdings" w:hint="default"/>
      </w:rPr>
    </w:lvl>
    <w:lvl w:ilvl="3" w:tplc="98B00476">
      <w:start w:val="1"/>
      <w:numFmt w:val="bullet"/>
      <w:lvlText w:val=""/>
      <w:lvlJc w:val="left"/>
      <w:pPr>
        <w:ind w:left="2880" w:hanging="360"/>
      </w:pPr>
      <w:rPr>
        <w:rFonts w:ascii="Symbol" w:hAnsi="Symbol" w:hint="default"/>
      </w:rPr>
    </w:lvl>
    <w:lvl w:ilvl="4" w:tplc="5CC67D80">
      <w:start w:val="1"/>
      <w:numFmt w:val="bullet"/>
      <w:lvlText w:val="o"/>
      <w:lvlJc w:val="left"/>
      <w:pPr>
        <w:ind w:left="3600" w:hanging="360"/>
      </w:pPr>
      <w:rPr>
        <w:rFonts w:ascii="Courier New" w:hAnsi="Courier New" w:cs="Courier New" w:hint="default"/>
      </w:rPr>
    </w:lvl>
    <w:lvl w:ilvl="5" w:tplc="3F8A1CEE">
      <w:start w:val="1"/>
      <w:numFmt w:val="bullet"/>
      <w:lvlText w:val=""/>
      <w:lvlJc w:val="left"/>
      <w:pPr>
        <w:ind w:left="4320" w:hanging="360"/>
      </w:pPr>
      <w:rPr>
        <w:rFonts w:ascii="Wingdings" w:hAnsi="Wingdings" w:hint="default"/>
      </w:rPr>
    </w:lvl>
    <w:lvl w:ilvl="6" w:tplc="3DFEC08E">
      <w:start w:val="1"/>
      <w:numFmt w:val="bullet"/>
      <w:lvlText w:val=""/>
      <w:lvlJc w:val="left"/>
      <w:pPr>
        <w:ind w:left="5040" w:hanging="360"/>
      </w:pPr>
      <w:rPr>
        <w:rFonts w:ascii="Symbol" w:hAnsi="Symbol" w:hint="default"/>
      </w:rPr>
    </w:lvl>
    <w:lvl w:ilvl="7" w:tplc="8D6A8B4C">
      <w:start w:val="1"/>
      <w:numFmt w:val="bullet"/>
      <w:lvlText w:val="o"/>
      <w:lvlJc w:val="left"/>
      <w:pPr>
        <w:ind w:left="5760" w:hanging="360"/>
      </w:pPr>
      <w:rPr>
        <w:rFonts w:ascii="Courier New" w:hAnsi="Courier New" w:cs="Courier New" w:hint="default"/>
      </w:rPr>
    </w:lvl>
    <w:lvl w:ilvl="8" w:tplc="5E5C62A2">
      <w:start w:val="1"/>
      <w:numFmt w:val="bullet"/>
      <w:lvlText w:val=""/>
      <w:lvlJc w:val="left"/>
      <w:pPr>
        <w:ind w:left="6480" w:hanging="360"/>
      </w:pPr>
      <w:rPr>
        <w:rFonts w:ascii="Wingdings" w:hAnsi="Wingdings" w:hint="default"/>
      </w:rPr>
    </w:lvl>
  </w:abstractNum>
  <w:abstractNum w:abstractNumId="4" w15:restartNumberingAfterBreak="0">
    <w:nsid w:val="77FD00D3"/>
    <w:multiLevelType w:val="hybridMultilevel"/>
    <w:tmpl w:val="B6B27964"/>
    <w:lvl w:ilvl="0" w:tplc="92F41D2A">
      <w:start w:val="1"/>
      <w:numFmt w:val="bullet"/>
      <w:lvlText w:val="–"/>
      <w:lvlJc w:val="left"/>
      <w:pPr>
        <w:ind w:left="709" w:hanging="360"/>
      </w:pPr>
      <w:rPr>
        <w:rFonts w:ascii="Arial" w:eastAsia="Arial" w:hAnsi="Arial" w:cs="Arial" w:hint="default"/>
      </w:rPr>
    </w:lvl>
    <w:lvl w:ilvl="1" w:tplc="157EFFEC">
      <w:start w:val="1"/>
      <w:numFmt w:val="bullet"/>
      <w:lvlText w:val="o"/>
      <w:lvlJc w:val="left"/>
      <w:pPr>
        <w:ind w:left="1429" w:hanging="360"/>
      </w:pPr>
      <w:rPr>
        <w:rFonts w:ascii="Courier New" w:eastAsia="Courier New" w:hAnsi="Courier New" w:cs="Courier New" w:hint="default"/>
      </w:rPr>
    </w:lvl>
    <w:lvl w:ilvl="2" w:tplc="9E1C21C2">
      <w:start w:val="1"/>
      <w:numFmt w:val="bullet"/>
      <w:lvlText w:val="§"/>
      <w:lvlJc w:val="left"/>
      <w:pPr>
        <w:ind w:left="2149" w:hanging="360"/>
      </w:pPr>
      <w:rPr>
        <w:rFonts w:ascii="Wingdings" w:eastAsia="Wingdings" w:hAnsi="Wingdings" w:cs="Wingdings" w:hint="default"/>
      </w:rPr>
    </w:lvl>
    <w:lvl w:ilvl="3" w:tplc="666E2A88">
      <w:start w:val="1"/>
      <w:numFmt w:val="bullet"/>
      <w:lvlText w:val="·"/>
      <w:lvlJc w:val="left"/>
      <w:pPr>
        <w:ind w:left="2869" w:hanging="360"/>
      </w:pPr>
      <w:rPr>
        <w:rFonts w:ascii="Symbol" w:eastAsia="Symbol" w:hAnsi="Symbol" w:cs="Symbol" w:hint="default"/>
      </w:rPr>
    </w:lvl>
    <w:lvl w:ilvl="4" w:tplc="025CBFA2">
      <w:start w:val="1"/>
      <w:numFmt w:val="bullet"/>
      <w:lvlText w:val="o"/>
      <w:lvlJc w:val="left"/>
      <w:pPr>
        <w:ind w:left="3589" w:hanging="360"/>
      </w:pPr>
      <w:rPr>
        <w:rFonts w:ascii="Courier New" w:eastAsia="Courier New" w:hAnsi="Courier New" w:cs="Courier New" w:hint="default"/>
      </w:rPr>
    </w:lvl>
    <w:lvl w:ilvl="5" w:tplc="35F0B72E">
      <w:start w:val="1"/>
      <w:numFmt w:val="bullet"/>
      <w:lvlText w:val="§"/>
      <w:lvlJc w:val="left"/>
      <w:pPr>
        <w:ind w:left="4309" w:hanging="360"/>
      </w:pPr>
      <w:rPr>
        <w:rFonts w:ascii="Wingdings" w:eastAsia="Wingdings" w:hAnsi="Wingdings" w:cs="Wingdings" w:hint="default"/>
      </w:rPr>
    </w:lvl>
    <w:lvl w:ilvl="6" w:tplc="FC7CC1EC">
      <w:start w:val="1"/>
      <w:numFmt w:val="bullet"/>
      <w:lvlText w:val="·"/>
      <w:lvlJc w:val="left"/>
      <w:pPr>
        <w:ind w:left="5029" w:hanging="360"/>
      </w:pPr>
      <w:rPr>
        <w:rFonts w:ascii="Symbol" w:eastAsia="Symbol" w:hAnsi="Symbol" w:cs="Symbol" w:hint="default"/>
      </w:rPr>
    </w:lvl>
    <w:lvl w:ilvl="7" w:tplc="F836C218">
      <w:start w:val="1"/>
      <w:numFmt w:val="bullet"/>
      <w:lvlText w:val="o"/>
      <w:lvlJc w:val="left"/>
      <w:pPr>
        <w:ind w:left="5749" w:hanging="360"/>
      </w:pPr>
      <w:rPr>
        <w:rFonts w:ascii="Courier New" w:eastAsia="Courier New" w:hAnsi="Courier New" w:cs="Courier New" w:hint="default"/>
      </w:rPr>
    </w:lvl>
    <w:lvl w:ilvl="8" w:tplc="AFBC55A6">
      <w:start w:val="1"/>
      <w:numFmt w:val="bullet"/>
      <w:lvlText w:val="§"/>
      <w:lvlJc w:val="left"/>
      <w:pPr>
        <w:ind w:left="6469" w:hanging="360"/>
      </w:pPr>
      <w:rPr>
        <w:rFonts w:ascii="Wingdings" w:eastAsia="Wingdings" w:hAnsi="Wingdings" w:cs="Wingdings" w:hint="default"/>
      </w:rPr>
    </w:lvl>
  </w:abstractNum>
  <w:num w:numId="1" w16cid:durableId="2138406020">
    <w:abstractNumId w:val="1"/>
  </w:num>
  <w:num w:numId="2" w16cid:durableId="2034845013">
    <w:abstractNumId w:val="4"/>
  </w:num>
  <w:num w:numId="3" w16cid:durableId="2084253065">
    <w:abstractNumId w:val="2"/>
  </w:num>
  <w:num w:numId="4" w16cid:durableId="235628732">
    <w:abstractNumId w:val="3"/>
  </w:num>
  <w:num w:numId="5" w16cid:durableId="123654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D37"/>
    <w:rsid w:val="00020950"/>
    <w:rsid w:val="00166F8A"/>
    <w:rsid w:val="00402EBA"/>
    <w:rsid w:val="00526D37"/>
    <w:rsid w:val="007D591B"/>
    <w:rsid w:val="008A406B"/>
    <w:rsid w:val="00E1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E4A9"/>
  <w15:docId w15:val="{924EA9E1-4E9D-4C04-B84D-DAA92963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resource/view.php?id=1878" TargetMode="External"/><Relationship Id="rId13" Type="http://schemas.openxmlformats.org/officeDocument/2006/relationships/hyperlink" Target="https://digitale-lehre.tu-dortmund.de/storages/digitale-lehre/r/Dokumente/leitfaden_barrierefreie_dokumente.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serlich.inf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iftung-hochschullehr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https://www.uni-bielefeld.de/einrichtungen/zab/digitale-barrierefreiheit/barrierefreie-dokumente/anleitungen/word-201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www.shuffle-projek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A7EE-45E8-4A94-9C43-065A30CB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1633</Words>
  <Characters>10295</Characters>
  <Application>Microsoft Office Word</Application>
  <DocSecurity>8</DocSecurity>
  <Lines>85</Lines>
  <Paragraphs>23</Paragraphs>
  <ScaleCrop>false</ScaleCrop>
  <Company>Universitaet Bielefeld</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Günter</dc:creator>
  <cp:keywords/>
  <dc:description/>
  <cp:lastModifiedBy>Sarah Bergmann</cp:lastModifiedBy>
  <cp:revision>8</cp:revision>
  <dcterms:created xsi:type="dcterms:W3CDTF">2023-08-15T07:35:00Z</dcterms:created>
  <dcterms:modified xsi:type="dcterms:W3CDTF">2024-03-08T07:57:00Z</dcterms:modified>
</cp:coreProperties>
</file>